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B02" w:rsidRDefault="0070287A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bookmarkStart w:id="0" w:name="_heading=h.oyfc6548qp9z" w:colFirst="0" w:colLast="0"/>
      <w:bookmarkEnd w:id="0"/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ÚVOD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1" w:name="_heading=h.tl7ypqrs2vuj" w:colFirst="0" w:colLast="0"/>
      <w:bookmarkEnd w:id="1"/>
      <w:r>
        <w:rPr>
          <w:rFonts w:ascii="Arial Narrow" w:eastAsia="Arial Narrow" w:hAnsi="Arial Narrow" w:cs="Arial Narrow"/>
          <w:color w:val="000000"/>
          <w:szCs w:val="20"/>
        </w:rPr>
        <w:t xml:space="preserve">Tato technická zpráva popisuje navrženou koncepci vytápění v novostavbě objektu základní školy. Jednotlivá zařízení jsou navrženy tak, aby splnily předepsané hodnoty dané normami a předpisy platnými na území České republiky a </w:t>
      </w:r>
      <w:r>
        <w:rPr>
          <w:rFonts w:ascii="Arial Narrow" w:eastAsia="Arial Narrow" w:hAnsi="Arial Narrow" w:cs="Arial Narrow"/>
        </w:rPr>
        <w:t>zajistili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požadované parametry vnitřního mikroklimatu.</w:t>
      </w:r>
    </w:p>
    <w:p w:rsidR="00F35B02" w:rsidRDefault="0070287A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VSTUPNÍ PARAMETRY</w:t>
      </w:r>
    </w:p>
    <w:p w:rsidR="00F35B02" w:rsidRDefault="0070287A">
      <w:pPr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94"/>
        </w:tabs>
        <w:spacing w:before="60" w:after="60" w:line="240" w:lineRule="auto"/>
        <w:ind w:left="0" w:hanging="2"/>
        <w:rPr>
          <w:rFonts w:ascii="Arial Narrow" w:eastAsia="Arial Narrow" w:hAnsi="Arial Narrow" w:cs="Arial Narrow"/>
          <w:b/>
          <w:color w:val="000000"/>
          <w:szCs w:val="20"/>
        </w:rPr>
      </w:pPr>
      <w:bookmarkStart w:id="2" w:name="_heading=h.cfmjcg8lsp9y" w:colFirst="0" w:colLast="0"/>
      <w:bookmarkEnd w:id="2"/>
      <w:r>
        <w:rPr>
          <w:rFonts w:ascii="Arial Narrow" w:eastAsia="Arial Narrow" w:hAnsi="Arial Narrow" w:cs="Arial Narrow"/>
          <w:b/>
          <w:color w:val="000000"/>
          <w:szCs w:val="20"/>
        </w:rPr>
        <w:t>Místo stavby, popis objektu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3" w:name="_heading=h.whqxfmakgobj" w:colFirst="0" w:colLast="0"/>
      <w:bookmarkEnd w:id="3"/>
      <w:r>
        <w:rPr>
          <w:rFonts w:ascii="Arial Narrow" w:eastAsia="Arial Narrow" w:hAnsi="Arial Narrow" w:cs="Arial Narrow"/>
          <w:color w:val="000000"/>
          <w:szCs w:val="20"/>
        </w:rPr>
        <w:t xml:space="preserve">Projekt řeší novostavbu objektu sloužícího pro výuku v rámci areálu základní školy v Předlicích (Ústí nad Labem). Objekt se skládá ze tří nadzemních podlaží. </w:t>
      </w:r>
    </w:p>
    <w:p w:rsidR="00F35B02" w:rsidRDefault="0070287A">
      <w:pPr>
        <w:keepNext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94"/>
        </w:tabs>
        <w:spacing w:before="60" w:after="60" w:line="240" w:lineRule="auto"/>
        <w:ind w:left="0" w:hanging="2"/>
        <w:rPr>
          <w:rFonts w:ascii="Arial Narrow" w:eastAsia="Arial Narrow" w:hAnsi="Arial Narrow" w:cs="Arial Narrow"/>
          <w:b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Klima</w:t>
      </w:r>
      <w:r>
        <w:rPr>
          <w:rFonts w:ascii="Arial Narrow" w:eastAsia="Arial Narrow" w:hAnsi="Arial Narrow" w:cs="Arial Narrow"/>
          <w:b/>
          <w:color w:val="000000"/>
          <w:szCs w:val="20"/>
        </w:rPr>
        <w:t>tologické údaje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Nadmořská výška: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150 m n.m.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4" w:name="_heading=h.u58tmlxiayy1" w:colFirst="0" w:colLast="0"/>
      <w:bookmarkEnd w:id="4"/>
      <w:r>
        <w:rPr>
          <w:rFonts w:ascii="Arial Narrow" w:eastAsia="Arial Narrow" w:hAnsi="Arial Narrow" w:cs="Arial Narrow"/>
          <w:color w:val="000000"/>
          <w:szCs w:val="20"/>
        </w:rPr>
        <w:t>Výpočtová teplota vzduchu: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-12°C</w:t>
      </w:r>
    </w:p>
    <w:p w:rsidR="00F35B02" w:rsidRDefault="0070287A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4"/>
        </w:tabs>
        <w:spacing w:before="60" w:after="60" w:line="240" w:lineRule="auto"/>
        <w:ind w:left="0" w:hanging="2"/>
        <w:rPr>
          <w:rFonts w:ascii="Arial Narrow" w:eastAsia="Arial Narrow" w:hAnsi="Arial Narrow" w:cs="Arial Narrow"/>
          <w:b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Parametry médií pro vzduchotechnické zařízení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  <w:tab w:val="left" w:pos="288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Topné médium:                          </w:t>
      </w:r>
      <w:r>
        <w:rPr>
          <w:rFonts w:ascii="Arial Narrow" w:eastAsia="Arial Narrow" w:hAnsi="Arial Narrow" w:cs="Arial Narrow"/>
          <w:color w:val="000000"/>
          <w:szCs w:val="20"/>
        </w:rPr>
        <w:tab/>
        <w:t>elektro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Elektro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1x230V/50Hz, 3x400V/50Hz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Chladící médium: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chladivo R410A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VYTÁPĚNÍ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5" w:name="_heading=h.u7aium2i58wz" w:colFirst="0" w:colLast="0"/>
      <w:bookmarkEnd w:id="5"/>
      <w:r>
        <w:rPr>
          <w:rFonts w:ascii="Arial Narrow" w:eastAsia="Arial Narrow" w:hAnsi="Arial Narrow" w:cs="Arial Narrow"/>
          <w:color w:val="000000"/>
          <w:szCs w:val="20"/>
        </w:rPr>
        <w:t xml:space="preserve">Projektová dokumentace byla zpracována v souladu s příslušnými normami a právními předpisy platnými v České republice. </w:t>
      </w:r>
    </w:p>
    <w:p w:rsidR="00F35B02" w:rsidRDefault="007028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  <w:tab w:val="left" w:pos="426"/>
          <w:tab w:val="left" w:pos="6521"/>
          <w:tab w:val="left" w:pos="6804"/>
          <w:tab w:val="right" w:pos="963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Vyhláška 146/2024 Sb. Vyhláška o požadavcích na výstavbu</w:t>
      </w:r>
    </w:p>
    <w:p w:rsidR="00F35B02" w:rsidRDefault="007028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  <w:tab w:val="left" w:pos="426"/>
          <w:tab w:val="left" w:pos="6521"/>
          <w:tab w:val="left" w:pos="6804"/>
          <w:tab w:val="right" w:pos="963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Vyhláška 160/2024 Sb. Vyhláška o hygienických požadavcích na prostory a provoz zařízení a provozoven pro výchovu a vzdělávání dětí a mladistvých a dětských skupin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06 0310 - 2006 Tepelné soustavy v budovách - Projektování a montáž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06 0320 a H 132 98 - Ohřívání TUV – navrhování a projektování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ČSN 06 0830 a H 131 96 - Zabezpečovací zařízení pro ústřední vytápění a ohřívání užit.vody      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73 0540:2011- Tepelná ochrana budov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EN 12831:2005 - Tepelné soustavy v budovách - Výp</w:t>
      </w:r>
      <w:r>
        <w:rPr>
          <w:rFonts w:ascii="Arial Narrow" w:eastAsia="Arial Narrow" w:hAnsi="Arial Narrow" w:cs="Arial Narrow"/>
          <w:color w:val="000000"/>
          <w:szCs w:val="20"/>
        </w:rPr>
        <w:t>očet tepelného výkonu vytápění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EN ISO 4126-1 (13 4310) Bezpečnostní pojistná zařízení proti nadměrnému tlaku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ČSN ISO 10508 (64 6477) Plastové potrubní systémy pro rozvody horké a studené vody</w:t>
      </w:r>
    </w:p>
    <w:p w:rsidR="00F35B02" w:rsidRDefault="007028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Vyhláška č. 499/2006 Sb., o dokumentaci staveb</w:t>
      </w:r>
    </w:p>
    <w:p w:rsidR="00F35B02" w:rsidRDefault="0070287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Vyhláška č.26</w:t>
      </w:r>
      <w:r>
        <w:rPr>
          <w:rFonts w:ascii="Arial Narrow" w:eastAsia="Arial Narrow" w:hAnsi="Arial Narrow" w:cs="Arial Narrow"/>
          <w:color w:val="000000"/>
          <w:szCs w:val="20"/>
        </w:rPr>
        <w:t>8/2009 Sb., o technických požadavcích na stavby</w:t>
      </w:r>
    </w:p>
    <w:p w:rsidR="00F35B02" w:rsidRDefault="007028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Vyhláška č. 193/2007 Sb.</w:t>
      </w:r>
      <w:r>
        <w:rPr>
          <w:rFonts w:eastAsia="Arial" w:cs="Arial"/>
          <w:color w:val="000000"/>
          <w:szCs w:val="20"/>
        </w:rPr>
        <w:t xml:space="preserve"> k</w:t>
      </w:r>
      <w:r>
        <w:rPr>
          <w:rFonts w:ascii="Arial Narrow" w:eastAsia="Arial Narrow" w:hAnsi="Arial Narrow" w:cs="Arial Narrow"/>
          <w:color w:val="000000"/>
          <w:szCs w:val="20"/>
        </w:rPr>
        <w:t>terou se stanoví podrobnosti účinnosti užití energie při rozvodu tepelné energie a vnitřním rozvodu tepelné energie a chladu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jc w:val="both"/>
        <w:rPr>
          <w:rFonts w:eastAsia="Arial" w:cs="Arial"/>
          <w:color w:val="000000"/>
          <w:sz w:val="6"/>
          <w:szCs w:val="6"/>
          <w:u w:val="single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  <w:u w:val="single"/>
        </w:rPr>
        <w:t>Tepelné ztráty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Tepelné ztráty byly </w:t>
      </w:r>
      <w:r>
        <w:rPr>
          <w:rFonts w:ascii="Arial Narrow" w:eastAsia="Arial Narrow" w:hAnsi="Arial Narrow" w:cs="Arial Narrow"/>
        </w:rPr>
        <w:t>vypočteny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na základě ČSN EN 12831.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Minimální tepelně-tech. parametry základních stavebních konstrukcí: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Obvodová stěna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 xml:space="preserve">         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U = 0,12 [W * m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-2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* K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-1</w:t>
      </w:r>
      <w:r>
        <w:rPr>
          <w:rFonts w:ascii="Arial Narrow" w:eastAsia="Arial Narrow" w:hAnsi="Arial Narrow" w:cs="Arial Narrow"/>
          <w:color w:val="000000"/>
          <w:szCs w:val="20"/>
        </w:rPr>
        <w:t>]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Střecha vč. tepelné izolace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 xml:space="preserve">             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U = 0,15 [W * m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-2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* K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-1</w:t>
      </w:r>
      <w:r>
        <w:rPr>
          <w:rFonts w:ascii="Arial Narrow" w:eastAsia="Arial Narrow" w:hAnsi="Arial Narrow" w:cs="Arial Narrow"/>
          <w:color w:val="000000"/>
          <w:szCs w:val="20"/>
        </w:rPr>
        <w:t>]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Podlaha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U = 0,2 [W * m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-2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* K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-1</w:t>
      </w:r>
      <w:r>
        <w:rPr>
          <w:rFonts w:ascii="Arial Narrow" w:eastAsia="Arial Narrow" w:hAnsi="Arial Narrow" w:cs="Arial Narrow"/>
          <w:color w:val="000000"/>
          <w:szCs w:val="20"/>
        </w:rPr>
        <w:t>]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Okna, venkovní dveře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U = 0,8 [W * m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-2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* K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-1</w:t>
      </w:r>
      <w:r>
        <w:rPr>
          <w:rFonts w:ascii="Arial Narrow" w:eastAsia="Arial Narrow" w:hAnsi="Arial Narrow" w:cs="Arial Narrow"/>
          <w:color w:val="000000"/>
          <w:szCs w:val="20"/>
        </w:rPr>
        <w:t>]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Základní ukazatele umístění stavby: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Neprůvzdušnost objektu / Intenzita výměny vzduchu při 50Pa</w:t>
      </w:r>
      <w:r>
        <w:rPr>
          <w:rFonts w:ascii="Arial Narrow" w:eastAsia="Arial Narrow" w:hAnsi="Arial Narrow" w:cs="Arial Narrow"/>
          <w:color w:val="000000"/>
          <w:szCs w:val="20"/>
        </w:rPr>
        <w:tab/>
        <w:t>2,0 x/h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Počet topných dnů 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 xml:space="preserve">229 dnů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Průměrná teplota venkovní teplota dle ČSN EN 12831                 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  </w:t>
      </w:r>
      <w:r>
        <w:rPr>
          <w:rFonts w:ascii="Arial Narrow" w:eastAsia="Arial Narrow" w:hAnsi="Arial Narrow" w:cs="Arial Narrow"/>
          <w:b/>
          <w:color w:val="000000"/>
          <w:szCs w:val="20"/>
        </w:rPr>
        <w:t xml:space="preserve"> </w:t>
      </w:r>
      <w:r>
        <w:rPr>
          <w:rFonts w:ascii="Arial Narrow" w:eastAsia="Arial Narrow" w:hAnsi="Arial Narrow" w:cs="Arial Narrow"/>
          <w:color w:val="000000"/>
          <w:szCs w:val="20"/>
        </w:rPr>
        <w:tab/>
        <w:t xml:space="preserve">3,9 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o</w:t>
      </w:r>
      <w:r>
        <w:rPr>
          <w:rFonts w:ascii="Arial Narrow" w:eastAsia="Arial Narrow" w:hAnsi="Arial Narrow" w:cs="Arial Narrow"/>
          <w:color w:val="000000"/>
          <w:szCs w:val="20"/>
        </w:rPr>
        <w:t>C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  <w:u w:val="single"/>
        </w:rPr>
        <w:t>Hlukové parametry zařízení VYT: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Při navrhování zařízení budou dodržené nejvyšší přípustné hladiny hluku ve vnitřním a venkovním prostoru dle platných právních předpisů - Nařízení vlády č. 272/2011 Sb. o ochraně zdraví před nepříznivými účinky hluku a vibrací.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Vnitřní prostor:</w:t>
      </w:r>
    </w:p>
    <w:p w:rsidR="00F35B02" w:rsidRDefault="007028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  <w:tab w:val="left" w:pos="6521"/>
          <w:tab w:val="left" w:pos="6804"/>
          <w:tab w:val="right" w:pos="9639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Hygienický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limit maximální hladiny akustického tlaku A pro hluk šířící se ze zdrojů uvnitř objektu je pro učebny a kanceláře (sborovny) 45dB(A) po dobu používání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Venkovní prostor:</w:t>
      </w:r>
    </w:p>
    <w:p w:rsidR="00F35B02" w:rsidRDefault="007028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lastRenderedPageBreak/>
        <w:t>Hygienický limit hluku ekvivalentní hladiny akustického tlaku A pro Chráněný venkovní prostor staveb (2m od fasády obytných budov) je 50dB(A) v době mezi 6-22 hodinou a 40dB(A) v době mezi 22-6 hodinou.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12"/>
          <w:szCs w:val="12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Hladina akustického tlaku bude splňovat výše uvedené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parametry. Tepelné čerpadlo bude v protihlukovém provedení s kompresorem umístěným ve vnitřní jednotce. Ve venkovní jednotce je jen tepelný výměník a ventilátor. Ventilátor venkovní jednotky a kompresor vnitřní jednotky jsou s invertorem – plynulou změnou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otáček z vazbou na požadovaný výkon. Akustický tlak venkovní </w:t>
      </w:r>
      <w:r>
        <w:rPr>
          <w:rFonts w:ascii="Arial Narrow" w:eastAsia="Arial Narrow" w:hAnsi="Arial Narrow" w:cs="Arial Narrow"/>
        </w:rPr>
        <w:t>jednotky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je při plném výkonu zařízení ve vzdálenosti 5m 45dB(A).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  <w:u w:val="single"/>
        </w:rPr>
        <w:t>Základní koncepce Vytápění: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</w:rPr>
        <w:t>V objektu je navržen systém ústředního vytápění s tepelným čerpadlem vzduch - voda, systém vytápění - podlahové. Teplá voda (TV) bude připravována v externím zásobníku teplé vody. V akumulační nádobě VYT a zásobníku TV bude vložena elektrická topná tyč jak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o záloha zdroje tepla (nebude v souběhu s tepelným čerpadlem). Topné tyče zapojuje profese elektro, spuštění bude manuálně obsluhou (na jističi), ovládání je autonomní - termostem. Tepelné čerpadlo dokáže vytápět objekt až do teploty cca v -15°C.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 prosto</w:t>
      </w:r>
      <w:r>
        <w:rPr>
          <w:rFonts w:ascii="Arial Narrow" w:eastAsia="Arial Narrow" w:hAnsi="Arial Narrow" w:cs="Arial Narrow"/>
          <w:color w:val="000000"/>
          <w:szCs w:val="20"/>
        </w:rPr>
        <w:t>ru výrobní technické místnosti bude umístěno následující technologické zařízení: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Vnitřní jednotka tepelného čerpadla, vč. Pojistného ventilu, vč. Oběhového čerpadla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Expanzní zařízení – nádoba s vakem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Dávkování chemie – ruční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Aku nádoba vyt s elektrickou topnou patronou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Nádob</w:t>
      </w:r>
      <w:r>
        <w:rPr>
          <w:rFonts w:ascii="Arial Narrow" w:eastAsia="Arial Narrow" w:hAnsi="Arial Narrow" w:cs="Arial Narrow"/>
        </w:rPr>
        <w:t>a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TV s elektrickou topnou patronou</w:t>
      </w:r>
    </w:p>
    <w:p w:rsidR="00F35B02" w:rsidRDefault="0070287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Dopouštění topné vody - automatické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  <w:u w:val="single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  <w:u w:val="single"/>
        </w:rPr>
        <w:t>Parametry primárního média: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topná voda – teplotní spád podlahové vytápění, topná tělesa 3</w:t>
      </w:r>
      <w:r>
        <w:rPr>
          <w:rFonts w:ascii="Arial Narrow" w:eastAsia="Arial Narrow" w:hAnsi="Arial Narrow" w:cs="Arial Narrow"/>
        </w:rPr>
        <w:t>0</w:t>
      </w:r>
      <w:r>
        <w:rPr>
          <w:rFonts w:ascii="Arial Narrow" w:eastAsia="Arial Narrow" w:hAnsi="Arial Narrow" w:cs="Arial Narrow"/>
          <w:color w:val="000000"/>
          <w:szCs w:val="20"/>
        </w:rPr>
        <w:t>/</w:t>
      </w:r>
      <w:r>
        <w:rPr>
          <w:rFonts w:ascii="Arial Narrow" w:eastAsia="Arial Narrow" w:hAnsi="Arial Narrow" w:cs="Arial Narrow"/>
        </w:rPr>
        <w:t>25</w:t>
      </w:r>
      <w:r>
        <w:rPr>
          <w:rFonts w:ascii="Arial Narrow" w:eastAsia="Arial Narrow" w:hAnsi="Arial Narrow" w:cs="Arial Narrow"/>
          <w:color w:val="000000"/>
          <w:szCs w:val="20"/>
        </w:rPr>
        <w:t>°C* při -1</w:t>
      </w:r>
      <w:r>
        <w:rPr>
          <w:rFonts w:ascii="Arial Narrow" w:eastAsia="Arial Narrow" w:hAnsi="Arial Narrow" w:cs="Arial Narrow"/>
        </w:rPr>
        <w:t>5</w:t>
      </w:r>
      <w:r>
        <w:rPr>
          <w:rFonts w:ascii="Arial Narrow" w:eastAsia="Arial Narrow" w:hAnsi="Arial Narrow" w:cs="Arial Narrow"/>
          <w:color w:val="000000"/>
          <w:szCs w:val="20"/>
        </w:rPr>
        <w:t>°C / dle ekvitermní křivky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max. provozní tlak 3,0 bar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*teplota topné vody má zásadní vliv na účinnost systému s tepelným čerpadlem, v projektu je dbáno, aby teplota topné vody byla co nejnižší, reálný teplotní spád bude volen na základě zkušeností uživatele objektu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  <w:u w:val="single"/>
        </w:rPr>
      </w:pPr>
      <w:r>
        <w:rPr>
          <w:rFonts w:ascii="Arial Narrow" w:eastAsia="Arial Narrow" w:hAnsi="Arial Narrow" w:cs="Arial Narrow"/>
          <w:color w:val="000000"/>
          <w:szCs w:val="20"/>
          <w:u w:val="single"/>
        </w:rPr>
        <w:t>Navrhované param</w:t>
      </w:r>
      <w:r>
        <w:rPr>
          <w:rFonts w:ascii="Arial Narrow" w:eastAsia="Arial Narrow" w:hAnsi="Arial Narrow" w:cs="Arial Narrow"/>
          <w:color w:val="000000"/>
          <w:szCs w:val="20"/>
          <w:u w:val="single"/>
        </w:rPr>
        <w:t xml:space="preserve">etry pro dimenzování zařízení: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bookmarkStart w:id="6" w:name="_heading=h.fgbwm2p900qe" w:colFirst="0" w:colLast="0"/>
      <w:bookmarkEnd w:id="6"/>
      <w:r>
        <w:rPr>
          <w:rFonts w:ascii="Arial Narrow" w:eastAsia="Arial Narrow" w:hAnsi="Arial Narrow" w:cs="Arial Narrow"/>
          <w:color w:val="000000"/>
          <w:szCs w:val="20"/>
        </w:rPr>
        <w:t xml:space="preserve">Zařízení je navrženo na parametry vnitřního prostředí uvedené souhrnně v následující tabulce. </w:t>
      </w:r>
    </w:p>
    <w:tbl>
      <w:tblPr>
        <w:tblStyle w:val="a"/>
        <w:tblW w:w="987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851"/>
        <w:gridCol w:w="850"/>
        <w:gridCol w:w="709"/>
        <w:gridCol w:w="851"/>
        <w:gridCol w:w="992"/>
        <w:gridCol w:w="3817"/>
      </w:tblGrid>
      <w:tr w:rsidR="00F35B02">
        <w:trPr>
          <w:trHeight w:val="1290"/>
        </w:trPr>
        <w:tc>
          <w:tcPr>
            <w:tcW w:w="18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Prostor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Výpočtová zimní teplota °C</w:t>
            </w:r>
          </w:p>
        </w:tc>
        <w:tc>
          <w:tcPr>
            <w:tcW w:w="850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 xml:space="preserve">Požadovaná zimní teplota °C </w:t>
            </w:r>
          </w:p>
        </w:tc>
        <w:tc>
          <w:tcPr>
            <w:tcW w:w="7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Výpočtová letní teplota °C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Požadovaná letní teplota °C</w:t>
            </w:r>
          </w:p>
        </w:tc>
        <w:tc>
          <w:tcPr>
            <w:tcW w:w="992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 xml:space="preserve">Požadovaná relativní vlhkost % </w:t>
            </w:r>
          </w:p>
        </w:tc>
        <w:tc>
          <w:tcPr>
            <w:tcW w:w="3817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Výměna vzduchu Poznámky</w:t>
            </w:r>
          </w:p>
        </w:tc>
      </w:tr>
      <w:tr w:rsidR="00F35B02">
        <w:trPr>
          <w:trHeight w:val="284"/>
        </w:trPr>
        <w:tc>
          <w:tcPr>
            <w:tcW w:w="18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Učebna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20±1,5</w:t>
            </w:r>
          </w:p>
        </w:tc>
        <w:tc>
          <w:tcPr>
            <w:tcW w:w="7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26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Max. 28</w:t>
            </w:r>
          </w:p>
        </w:tc>
        <w:tc>
          <w:tcPr>
            <w:tcW w:w="992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neřízená</w:t>
            </w:r>
          </w:p>
        </w:tc>
        <w:tc>
          <w:tcPr>
            <w:tcW w:w="3817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25 m</w:t>
            </w:r>
            <w:r>
              <w:rPr>
                <w:rFonts w:ascii="Arial Narrow" w:eastAsia="Arial Narrow" w:hAnsi="Arial Narrow" w:cs="Arial Narrow"/>
                <w:color w:val="000000"/>
                <w:szCs w:val="20"/>
                <w:vertAlign w:val="superscrip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/h/osobu</w:t>
            </w:r>
          </w:p>
        </w:tc>
      </w:tr>
      <w:tr w:rsidR="00F35B02">
        <w:trPr>
          <w:trHeight w:val="284"/>
        </w:trPr>
        <w:tc>
          <w:tcPr>
            <w:tcW w:w="18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Sborovna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20±1,5</w:t>
            </w:r>
          </w:p>
        </w:tc>
        <w:tc>
          <w:tcPr>
            <w:tcW w:w="7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neřízená</w:t>
            </w:r>
          </w:p>
        </w:tc>
        <w:tc>
          <w:tcPr>
            <w:tcW w:w="3817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25 m</w:t>
            </w:r>
            <w:r>
              <w:rPr>
                <w:rFonts w:ascii="Arial Narrow" w:eastAsia="Arial Narrow" w:hAnsi="Arial Narrow" w:cs="Arial Narrow"/>
                <w:color w:val="000000"/>
                <w:szCs w:val="20"/>
                <w:vertAlign w:val="superscrip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/h/osobu</w:t>
            </w:r>
          </w:p>
        </w:tc>
      </w:tr>
      <w:tr w:rsidR="00F35B02">
        <w:trPr>
          <w:trHeight w:val="311"/>
        </w:trPr>
        <w:tc>
          <w:tcPr>
            <w:tcW w:w="18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Technická místnost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neřízená</w:t>
            </w:r>
          </w:p>
        </w:tc>
        <w:tc>
          <w:tcPr>
            <w:tcW w:w="3817" w:type="dxa"/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Min.0,5x</w:t>
            </w:r>
          </w:p>
        </w:tc>
      </w:tr>
      <w:tr w:rsidR="00F35B02">
        <w:trPr>
          <w:trHeight w:val="39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Záchody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Min. 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neřízená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Odtah dle zařizovacích předmětů</w:t>
            </w:r>
          </w:p>
        </w:tc>
      </w:tr>
      <w:tr w:rsidR="00F35B02">
        <w:trPr>
          <w:trHeight w:val="39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Chodba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Min. 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eastAsia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Cs w:val="20"/>
              </w:rPr>
              <w:t>neřízená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B02" w:rsidRDefault="00F35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center"/>
              <w:rPr>
                <w:rFonts w:ascii="Arial Narrow" w:eastAsia="Arial Narrow" w:hAnsi="Arial Narrow" w:cs="Arial Narrow"/>
                <w:color w:val="000000"/>
                <w:szCs w:val="20"/>
              </w:rPr>
            </w:pPr>
          </w:p>
        </w:tc>
      </w:tr>
    </w:tbl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Technologie vytápění: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ZDROJ TEPLA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Zdrojem tepla pro vytápění a ohřev teplé vody je tepelné čerpadlo </w:t>
      </w:r>
      <w:r>
        <w:rPr>
          <w:rFonts w:ascii="Arial Narrow" w:eastAsia="Arial Narrow" w:hAnsi="Arial Narrow" w:cs="Arial Narrow"/>
        </w:rPr>
        <w:t>vzduch-voda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 s modulací výkonu cca 30-100%. Tepelné čerpadlo je typu split </w:t>
      </w:r>
      <w:r>
        <w:rPr>
          <w:rFonts w:ascii="Arial Narrow" w:eastAsia="Arial Narrow" w:hAnsi="Arial Narrow" w:cs="Arial Narrow"/>
          <w:b/>
          <w:color w:val="000000"/>
          <w:szCs w:val="20"/>
        </w:rPr>
        <w:t>s kompresorem umístěným ve vnitřní jednotce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. Venkovní a vnitřní jednotka jsou propojeny chladivovým potrubím a nehrozí tak zamrznutí systému při výpadku elektrické energie. </w:t>
      </w:r>
      <w:r>
        <w:rPr>
          <w:rFonts w:ascii="Arial Narrow" w:eastAsia="Arial Narrow" w:hAnsi="Arial Narrow" w:cs="Arial Narrow"/>
        </w:rPr>
        <w:t>Převýšení mezi venkovní a vnitřní jednotkou je cca 14 m, celková délka chl. potrubí</w:t>
      </w:r>
      <w:r>
        <w:rPr>
          <w:rFonts w:ascii="Arial Narrow" w:eastAsia="Arial Narrow" w:hAnsi="Arial Narrow" w:cs="Arial Narrow"/>
        </w:rPr>
        <w:t xml:space="preserve"> je </w:t>
      </w:r>
      <w:r>
        <w:rPr>
          <w:rFonts w:ascii="Arial Narrow" w:eastAsia="Arial Narrow" w:hAnsi="Arial Narrow" w:cs="Arial Narrow"/>
          <w:color w:val="000000"/>
          <w:szCs w:val="20"/>
        </w:rPr>
        <w:t>Systém zapojení tep. čerpadla je přes akumulační nádobu. Okruh vytápění musí být vybaven vlastním oběhovým čerpadlem.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Venkovní jednotka bude umístěna na střeše, tak aby bylo zajištěno volné proudění a parametry zařízení. Venkovní jednotka bude pružně </w:t>
      </w:r>
      <w:r>
        <w:rPr>
          <w:rFonts w:ascii="Arial Narrow" w:eastAsia="Arial Narrow" w:hAnsi="Arial Narrow" w:cs="Arial Narrow"/>
        </w:rPr>
        <w:t>u</w:t>
      </w:r>
      <w:r>
        <w:rPr>
          <w:rFonts w:ascii="Arial Narrow" w:eastAsia="Arial Narrow" w:hAnsi="Arial Narrow" w:cs="Arial Narrow"/>
        </w:rPr>
        <w:t xml:space="preserve">ložena </w:t>
      </w:r>
      <w:r>
        <w:rPr>
          <w:rFonts w:ascii="Arial Narrow" w:eastAsia="Arial Narrow" w:hAnsi="Arial Narrow" w:cs="Arial Narrow"/>
          <w:color w:val="000000"/>
          <w:szCs w:val="20"/>
        </w:rPr>
        <w:t>na pomocné ocelové konstrukci</w:t>
      </w:r>
      <w:r>
        <w:rPr>
          <w:rFonts w:ascii="Arial Narrow" w:eastAsia="Arial Narrow" w:hAnsi="Arial Narrow" w:cs="Arial Narrow"/>
        </w:rPr>
        <w:t>. V režimu topení bude jednotka produkovat kondenzát. Je uvažováno, že tento kondenzát bude volně sveden na střechu. Při určitých klimatických podmínkách se může pod venkovní jednotkou hromadit led. Jednotka bude osazena</w:t>
      </w:r>
      <w:r>
        <w:rPr>
          <w:rFonts w:ascii="Arial Narrow" w:eastAsia="Arial Narrow" w:hAnsi="Arial Narrow" w:cs="Arial Narrow"/>
        </w:rPr>
        <w:t xml:space="preserve"> ve výšce cca  60 cm nad střechou.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Zařízení bude instalováno dle montážních podkladů dodavatele. Na zařízení je </w:t>
      </w:r>
      <w:r>
        <w:rPr>
          <w:rFonts w:ascii="Arial Narrow" w:eastAsia="Arial Narrow" w:hAnsi="Arial Narrow" w:cs="Arial Narrow"/>
        </w:rPr>
        <w:t>nutné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vykonávat pravidelný servis. Na vratném potrubí na vstupu do TČ </w:t>
      </w:r>
      <w:r>
        <w:rPr>
          <w:rFonts w:ascii="Arial Narrow" w:eastAsia="Arial Narrow" w:hAnsi="Arial Narrow" w:cs="Arial Narrow"/>
        </w:rPr>
        <w:t>bude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instalován separátor magnetitu a filtr nečistot.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Tepelné čerpadlo bud</w:t>
      </w:r>
      <w:r>
        <w:rPr>
          <w:rFonts w:ascii="Arial Narrow" w:eastAsia="Arial Narrow" w:hAnsi="Arial Narrow" w:cs="Arial Narrow"/>
        </w:rPr>
        <w:t>e umožňovat reverzní chod / s možností přichlazování do podlahového vytápění. TČ bude vybaveno autonomním systémem ovládání - ekvitermní regulace, nahřívání AKU zásobníku na požadovanou teplotu, nahřívání zásobníku TV na požadovanou teplotu, ovládání směšo</w:t>
      </w:r>
      <w:r>
        <w:rPr>
          <w:rFonts w:ascii="Arial Narrow" w:eastAsia="Arial Narrow" w:hAnsi="Arial Narrow" w:cs="Arial Narrow"/>
        </w:rPr>
        <w:t>vače topného okruhu na požadovanou teplotu.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AKUMULAČNÍ NÁDOBA VYT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00000"/>
          <w:szCs w:val="20"/>
        </w:rPr>
        <w:t>Pro zajištění průtoku TČ při uzavřených regulačních armaturách a jako akumulační článek pro režim odtávání a vykrytí špiček provozu TČ bude instalován vyrovnávací zásobník topné vody s nanes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enou tvrdou pěnovou PU izolací s pláštěm umožňující chod v režimu chlazení. </w:t>
      </w:r>
      <w:r>
        <w:rPr>
          <w:rFonts w:ascii="Arial Narrow" w:eastAsia="Arial Narrow" w:hAnsi="Arial Narrow" w:cs="Arial Narrow"/>
        </w:rPr>
        <w:t xml:space="preserve">Tlak. odolnost aku nádoby min. 3 bar, nádoba bude mít 6/4 nátrubek a přírubu 180mm pro osazení topného tělesa. Topné těleso slouží jako záloha hlavního zdroje tepla (bez souběhu s </w:t>
      </w:r>
      <w:r>
        <w:rPr>
          <w:rFonts w:ascii="Arial Narrow" w:eastAsia="Arial Narrow" w:hAnsi="Arial Narrow" w:cs="Arial Narrow"/>
        </w:rPr>
        <w:t xml:space="preserve">TČ). Nádoba bude umístěna v technické místnosti. 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Topné těleso - reg. stupně 5,0 / 6,5 / 10 kW, 3x400V, příruba DN180, vestavěný provozní a havarijní termostat.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EXPANZNÍ A POJISTNÉ ZAŘÍZENÍ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Pojistný ventil bude instalován přes servisní armaturu na zdrojích tepla – tep. čerpadle a nádobách osazenými topnými elektrickými tyčemi.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Udržování stabilního tlaku při kolísání teplot v systému zajistí tlaková expanzní nádoba s membránovým vakem a plynov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ým polštářem. Nádoba zajistí dostatečnou expanzi topného média a vodní rezervu pro méně časté doplňování vody do systému. Dopouštění vody do systému bude automatické / obsluhou na tlak 1,5bar. Bude volena nádoba o objemu </w:t>
      </w:r>
      <w:r>
        <w:rPr>
          <w:rFonts w:ascii="Arial Narrow" w:eastAsia="Arial Narrow" w:hAnsi="Arial Narrow" w:cs="Arial Narrow"/>
        </w:rPr>
        <w:t>80 l, tlak. odolnost 3 bar.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tbl>
      <w:tblPr>
        <w:tblStyle w:val="a0"/>
        <w:tblW w:w="6135" w:type="dxa"/>
        <w:tblInd w:w="-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960"/>
        <w:gridCol w:w="960"/>
        <w:gridCol w:w="1031"/>
      </w:tblGrid>
      <w:tr w:rsidR="00F35B02">
        <w:trPr>
          <w:trHeight w:val="225"/>
        </w:trPr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Návrh expanzního nádoby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 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vodní objem soustavy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1100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max. teplota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Tw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°C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koeficient roztažnosti pro t=40°C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0,0074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 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expanzní objem soustavy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min. vodní rezerva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VV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statická výška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HSR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14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m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statický tlak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1,4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bar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 xml:space="preserve">minimální tlak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po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1,7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bar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počáteční tlak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pa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2,0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bar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pojistný tlak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pp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bar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konečný tlak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bar</w:t>
            </w:r>
          </w:p>
        </w:tc>
      </w:tr>
      <w:tr w:rsidR="00F35B02">
        <w:tc>
          <w:tcPr>
            <w:tcW w:w="31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Min. objem expanzní objem nádoby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18"/>
                <w:szCs w:val="18"/>
              </w:rPr>
              <w:t>VN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60</w:t>
            </w:r>
          </w:p>
        </w:tc>
        <w:tc>
          <w:tcPr>
            <w:tcW w:w="10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</w:t>
            </w:r>
          </w:p>
        </w:tc>
      </w:tr>
    </w:tbl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PŘÍPRAVA TEPLÉ VODY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Příprava teplé vody (TV) bude zajištěna v nepřímotopném zásobníku s průtokovým ohřevem teplé vody. Nádoba bude </w:t>
      </w:r>
      <w:r>
        <w:rPr>
          <w:rFonts w:ascii="Arial Narrow" w:eastAsia="Arial Narrow" w:hAnsi="Arial Narrow" w:cs="Arial Narrow"/>
        </w:rPr>
        <w:t xml:space="preserve"> s nanesenou tvrdou pěnovou PU izolací s pláštěm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. Tento systém přípravy teplé vody je bezúdržbový – bez anody a bez nutnosti termické dezinfekce 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TV. </w:t>
      </w:r>
      <w:r>
        <w:rPr>
          <w:rFonts w:ascii="Arial Narrow" w:eastAsia="Arial Narrow" w:hAnsi="Arial Narrow" w:cs="Arial Narrow"/>
        </w:rPr>
        <w:t xml:space="preserve">Tlak. odolnost nádoby min. 3 bar / výměník pro přípravu TV 6bar. Nádoba bude mít 6/4 nátrubek pro osazení topného tělesa. Topné těleso slouží jako záloha hlavního zdroje tepla (bez souběhu s TČ).  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Nádoba bude umístěna v technické místnosti. </w:t>
      </w:r>
    </w:p>
    <w:p w:rsidR="00F35B02" w:rsidRDefault="0070287A">
      <w:pPr>
        <w:spacing w:after="60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Topné těleso -2 kW, 3x400V/230V, závit 6/4, vestavěný provozní a havarijní termostat.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Odběr TV a případn</w:t>
      </w:r>
      <w:r>
        <w:rPr>
          <w:rFonts w:ascii="Arial Narrow" w:eastAsia="Arial Narrow" w:hAnsi="Arial Narrow" w:cs="Arial Narrow"/>
        </w:rPr>
        <w:t>ou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cirkulac</w:t>
      </w:r>
      <w:r>
        <w:rPr>
          <w:rFonts w:ascii="Arial Narrow" w:eastAsia="Arial Narrow" w:hAnsi="Arial Narrow" w:cs="Arial Narrow"/>
        </w:rPr>
        <w:t>i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TV </w:t>
      </w:r>
      <w:r>
        <w:rPr>
          <w:rFonts w:ascii="Arial Narrow" w:eastAsia="Arial Narrow" w:hAnsi="Arial Narrow" w:cs="Arial Narrow"/>
        </w:rPr>
        <w:t>řeší profese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ZTI. Nádoba nemá hrdlo pro napojení cirkulace TV.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V nádobě TV může být vyšší teplota díky využití tepla z horkých par kompresoru, je doporučeno, aby profese ZTI instalovala za nádobu směšovací armaturu.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Potrubní trasy: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Rozvodné potrubí je navrženo v systému potrubí z ušlechtilé oceli, </w:t>
      </w:r>
      <w:r>
        <w:rPr>
          <w:rFonts w:ascii="Arial Narrow" w:eastAsia="Arial Narrow" w:hAnsi="Arial Narrow" w:cs="Arial Narrow"/>
        </w:rPr>
        <w:t>spojované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lisováním</w:t>
      </w:r>
      <w:r>
        <w:rPr>
          <w:rFonts w:ascii="Arial Narrow" w:eastAsia="Arial Narrow" w:hAnsi="Arial Narrow" w:cs="Arial Narrow"/>
          <w:color w:val="000000"/>
          <w:szCs w:val="20"/>
        </w:rPr>
        <w:t>, vhodné i pro zabudování do stavebních konstrukcí.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Potrubí bude </w:t>
      </w:r>
      <w:r>
        <w:rPr>
          <w:rFonts w:ascii="Arial Narrow" w:eastAsia="Arial Narrow" w:hAnsi="Arial Narrow" w:cs="Arial Narrow"/>
        </w:rPr>
        <w:t>uloženo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na objímkách kotvených do stavebních konstrukcí, zabudované ve stěnách, stropech a v podhledech. Dilatace potrubí je přirozeně vytvořenými kompenzátory tvaru U, L, Z. Spoje zabudované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do betonu, či omítkoviny budou chráněny tepelnou izolací, nebo ochrannou páskou.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lastRenderedPageBreak/>
        <w:t>Proti prvotnímu poškození výměníků, armatur a čerpadel bude před spuštěním čerpadel potrubí propláchnuto ve smyslu ČSN 06 0310. Bude provedena zkouška těsnosti, tlaková zkou</w:t>
      </w:r>
      <w:r>
        <w:rPr>
          <w:rFonts w:ascii="Arial Narrow" w:eastAsia="Arial Narrow" w:hAnsi="Arial Narrow" w:cs="Arial Narrow"/>
          <w:color w:val="000000"/>
          <w:szCs w:val="20"/>
        </w:rPr>
        <w:t>ška (před zabudováním do konstrukcí) a topná zkouška za účelem prověření funkce a technických parametrů otopné soustavy. Součástí zkoušek bude provedeno hydraulické vyregulování otopné soustavy. V nejvyšších bodech budou osazeny odvzdušňovací armatury v ne</w:t>
      </w:r>
      <w:r>
        <w:rPr>
          <w:rFonts w:ascii="Arial Narrow" w:eastAsia="Arial Narrow" w:hAnsi="Arial Narrow" w:cs="Arial Narrow"/>
          <w:color w:val="000000"/>
          <w:szCs w:val="20"/>
        </w:rPr>
        <w:t>jnižších místech vypouštěcí kohouty.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Podlahové vytápění: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 objektu je navrženo podlahové vytápění (PV) se zabetonovanými teplovodními trubkami</w:t>
      </w:r>
      <w:r>
        <w:rPr>
          <w:rFonts w:ascii="Arial Narrow" w:eastAsia="Arial Narrow" w:hAnsi="Arial Narrow" w:cs="Arial Narrow"/>
        </w:rPr>
        <w:t xml:space="preserve">. </w:t>
      </w:r>
      <w:r>
        <w:rPr>
          <w:rFonts w:ascii="Arial Narrow" w:eastAsia="Arial Narrow" w:hAnsi="Arial Narrow" w:cs="Arial Narrow"/>
          <w:color w:val="000000"/>
          <w:szCs w:val="20"/>
        </w:rPr>
        <w:t>Je navržen systém s plastovými trubkami a systémové plastové desky s prolisy a tep</w:t>
      </w:r>
      <w:r>
        <w:rPr>
          <w:rFonts w:ascii="Arial Narrow" w:eastAsia="Arial Narrow" w:hAnsi="Arial Narrow" w:cs="Arial Narrow"/>
        </w:rPr>
        <w:t>. izolací 11mm</w:t>
      </w:r>
      <w:r>
        <w:rPr>
          <w:rFonts w:ascii="Arial Narrow" w:eastAsia="Arial Narrow" w:hAnsi="Arial Narrow" w:cs="Arial Narrow"/>
          <w:color w:val="000000"/>
          <w:szCs w:val="20"/>
        </w:rPr>
        <w:t>, kdy jsou trubk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y fixovány mezi prolisy k podkladní desce. </w:t>
      </w:r>
      <w:r>
        <w:rPr>
          <w:rFonts w:ascii="Arial Narrow" w:eastAsia="Arial Narrow" w:hAnsi="Arial Narrow" w:cs="Arial Narrow"/>
        </w:rPr>
        <w:t>S</w:t>
      </w:r>
      <w:r>
        <w:rPr>
          <w:rFonts w:ascii="Arial Narrow" w:eastAsia="Arial Narrow" w:hAnsi="Arial Narrow" w:cs="Arial Narrow"/>
          <w:color w:val="000000"/>
          <w:szCs w:val="20"/>
        </w:rPr>
        <w:t>podní část</w:t>
      </w:r>
      <w:r>
        <w:rPr>
          <w:rFonts w:ascii="Arial Narrow" w:eastAsia="Arial Narrow" w:hAnsi="Arial Narrow" w:cs="Arial Narrow"/>
        </w:rPr>
        <w:t xml:space="preserve"> systémové desky je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z </w:t>
      </w:r>
      <w:r>
        <w:rPr>
          <w:rFonts w:ascii="Arial Narrow" w:eastAsia="Arial Narrow" w:hAnsi="Arial Narrow" w:cs="Arial Narrow"/>
        </w:rPr>
        <w:t>polystyrenové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pěny bez freonů, dle jakostního a z vrchní části z polystyrénové krycí fólie. Spojování desek pomocí krycí fólie s vytvarovanými výstupky, které přesahují desku na dv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ou stranách. Potrubí </w:t>
      </w:r>
      <w:r>
        <w:rPr>
          <w:rFonts w:ascii="Arial Narrow" w:eastAsia="Arial Narrow" w:hAnsi="Arial Narrow" w:cs="Arial Narrow"/>
        </w:rPr>
        <w:t>bude 17x2mm -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robustní</w:t>
      </w:r>
      <w:r>
        <w:rPr>
          <w:rFonts w:ascii="Arial Narrow" w:eastAsia="Arial Narrow" w:hAnsi="Arial Narrow" w:cs="Arial Narrow"/>
        </w:rPr>
        <w:t xml:space="preserve">, odolné, pochozí během montáže.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V místě stoupání potrubí z mazaniny (do rozdělovače pdl vyt) a v místě přechodu mezi místnostmi a dilatačními úseky bude potrubí </w:t>
      </w:r>
      <w:r>
        <w:rPr>
          <w:rFonts w:ascii="Arial Narrow" w:eastAsia="Arial Narrow" w:hAnsi="Arial Narrow" w:cs="Arial Narrow"/>
        </w:rPr>
        <w:t>uloženo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do chráničky. Napojení na rozdělovač pdl v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yt je přes svěrná šroubení, s možností nastavení průtoku. Poloměr ohybu trubek je 5xd. Překrytí trubky mazaninou je závislé na typu materiálu, obecně by mělo být min. 45mm. Při </w:t>
      </w:r>
      <w:r>
        <w:rPr>
          <w:rFonts w:ascii="Arial Narrow" w:eastAsia="Arial Narrow" w:hAnsi="Arial Narrow" w:cs="Arial Narrow"/>
        </w:rPr>
        <w:t>montáži musí být dodržen postup a principy stanovené dodavatelem systému.</w:t>
      </w:r>
    </w:p>
    <w:p w:rsidR="00F35B02" w:rsidRDefault="0070287A">
      <w:pPr>
        <w:spacing w:after="60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Rozdě</w:t>
      </w:r>
      <w:r>
        <w:rPr>
          <w:rFonts w:ascii="Arial Narrow" w:eastAsia="Arial Narrow" w:hAnsi="Arial Narrow" w:cs="Arial Narrow"/>
        </w:rPr>
        <w:t>lovač / sběrač pdl vytápění bude s nerez. oceli případně mosazi  s manuálním odvzdušňovacím a vypouštěcím ventilem, s uzavíráním přívodu, přednastavením a uzavíráním zpátečky, vč. průtokoměrů na jednotlivých větvích. Na vstupu a výstupu do rozdělovače budo</w:t>
      </w:r>
      <w:r>
        <w:rPr>
          <w:rFonts w:ascii="Arial Narrow" w:eastAsia="Arial Narrow" w:hAnsi="Arial Narrow" w:cs="Arial Narrow"/>
        </w:rPr>
        <w:t xml:space="preserve">u instalovány uzavírací armatury. Rozdělovače / sběrače pdl vytápění včetně regulace PV budou umístěny v každém patře na hale, v nice vč. uzavírací skříně - dodávka stavby.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Mimo topné období je možné systém využít pro částečné dochlazování prostor.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Určení dilatačních spár: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nad dilatačními spárami budovy (určuje stavba)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 ploch mazanin &gt; 40 m</w:t>
      </w:r>
      <w:r>
        <w:rPr>
          <w:rFonts w:ascii="Arial Narrow" w:eastAsia="Arial Narrow" w:hAnsi="Arial Narrow" w:cs="Arial Narrow"/>
          <w:color w:val="000000"/>
          <w:szCs w:val="20"/>
          <w:vertAlign w:val="superscript"/>
        </w:rPr>
        <w:t>2</w:t>
      </w:r>
      <w:r>
        <w:rPr>
          <w:rFonts w:ascii="Arial Narrow" w:eastAsia="Arial Narrow" w:hAnsi="Arial Narrow" w:cs="Arial Narrow"/>
          <w:color w:val="000000"/>
          <w:szCs w:val="20"/>
        </w:rPr>
        <w:t>; u délky strany &gt; 8 m; u poměru stran a:b &gt; 1:2; u polí se značnými odskoky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Regulace systému vytápění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  <w:highlight w:val="red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REGULACE TEPELNÉHO ČERPADLA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after="60"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Tepelné čerpadlo bude vybaveno autonomním systémem řízení s ekvitermní regulací pro nastavení teploty topné vody v závislosti na venkovní teplotě. Regulace TČ je na požadovanou výstupní teplotu vody - </w:t>
      </w:r>
      <w:r>
        <w:rPr>
          <w:rFonts w:ascii="Arial Narrow" w:eastAsia="Arial Narrow" w:hAnsi="Arial Narrow" w:cs="Arial Narrow"/>
        </w:rPr>
        <w:t>nabíjení nádoby AKU, nádoby TV + řízení směšovacího okr</w:t>
      </w:r>
      <w:r>
        <w:rPr>
          <w:rFonts w:ascii="Arial Narrow" w:eastAsia="Arial Narrow" w:hAnsi="Arial Narrow" w:cs="Arial Narrow"/>
        </w:rPr>
        <w:t>uhu VYT (reg. ventil, oběhové čerpadlo)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. Řídící systém tepelného čerpadla umožňuje ovládání přes aplikaci v mobilním telefonu, případně PC přes webserver (zařízení musí být připojeno k internetu / místní síti). </w:t>
      </w:r>
      <w:r>
        <w:rPr>
          <w:rFonts w:ascii="Arial Narrow" w:eastAsia="Arial Narrow" w:hAnsi="Arial Narrow" w:cs="Arial Narrow"/>
        </w:rPr>
        <w:t>Nastavení zařízení bude možné přes tablet umí</w:t>
      </w:r>
      <w:r>
        <w:rPr>
          <w:rFonts w:ascii="Arial Narrow" w:eastAsia="Arial Narrow" w:hAnsi="Arial Narrow" w:cs="Arial Narrow"/>
        </w:rPr>
        <w:t>stěný v technické místnosti, který bude sloužit také k ovládání regulace podlahového topení.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after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REGULACE PODLAHOVÉHO VYTÁPĚNÍ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Pro regulaci teploty místností s instalovaným podlahovým vytápěním bude sloužit systém - </w:t>
      </w:r>
      <w:r>
        <w:rPr>
          <w:rFonts w:ascii="Arial Narrow" w:eastAsia="Arial Narrow" w:hAnsi="Arial Narrow" w:cs="Arial Narrow"/>
        </w:rPr>
        <w:t>regulátor pdl vytápění, teplotní čidla v mís</w:t>
      </w:r>
      <w:r>
        <w:rPr>
          <w:rFonts w:ascii="Arial Narrow" w:eastAsia="Arial Narrow" w:hAnsi="Arial Narrow" w:cs="Arial Narrow"/>
        </w:rPr>
        <w:t>tnostech, uzavíracími pohony na jednotlivých okruzích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. </w:t>
      </w:r>
      <w:r>
        <w:rPr>
          <w:rFonts w:ascii="Arial Narrow" w:eastAsia="Arial Narrow" w:hAnsi="Arial Narrow" w:cs="Arial Narrow"/>
        </w:rPr>
        <w:t xml:space="preserve">Čidla 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dává přes řídící jednotku povel termopohonům na jednotlivých okruzích podlahového vytápění.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Regulátor podlahového topení / rozvaděč bude umístěn nad rozdělovačem sběračem (celkem 3 ks). Reguláto</w:t>
      </w:r>
      <w:r>
        <w:rPr>
          <w:rFonts w:ascii="Arial Narrow" w:eastAsia="Arial Narrow" w:hAnsi="Arial Narrow" w:cs="Arial Narrow"/>
        </w:rPr>
        <w:t xml:space="preserve">r napájí termopohony, čidla teploty v místnostech a má funkci chlazení. Napájecí napětí 230V zásuvka - zajistí profese SI. Jednotlivé regulátory budou mezi sebou propojeny 1x Master, 2x Slave. Regulátor master bude napojen na internet síť. </w:t>
      </w:r>
    </w:p>
    <w:p w:rsidR="00F35B02" w:rsidRDefault="0070287A">
      <w:pPr>
        <w:tabs>
          <w:tab w:val="left" w:pos="3119"/>
          <w:tab w:val="left" w:pos="3402"/>
          <w:tab w:val="right" w:pos="6237"/>
        </w:tabs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Brána pro připo</w:t>
      </w:r>
      <w:r>
        <w:rPr>
          <w:rFonts w:ascii="Arial Narrow" w:eastAsia="Arial Narrow" w:hAnsi="Arial Narrow" w:cs="Arial Narrow"/>
        </w:rPr>
        <w:t xml:space="preserve">jení regulátoru pdl vyt. na místní / internet sít. V technické místnosti bude umístěn tablet za kterého budou nastavovány teploty jednotlivých místností.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Kvalita topné vody: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 topném systému se nachází materiály na bázi mosazi a bronzu (fitinky, tvarovky, armatury), surové oceli (akumulační nádoby), ušlechtilá ocel (rozvody, rozdělovač pdl vyt). V systému se nenachází prvky slitiny hliníku a křemíku! Systém bude napouštěn změk</w:t>
      </w:r>
      <w:r>
        <w:rPr>
          <w:rFonts w:ascii="Arial Narrow" w:eastAsia="Arial Narrow" w:hAnsi="Arial Narrow" w:cs="Arial Narrow"/>
          <w:color w:val="000000"/>
          <w:szCs w:val="20"/>
        </w:rPr>
        <w:t>čenou vodou z vodovodního řadu (zabránění vzniku vodního kamene), obohacenou inhibitory (odplynění, úprava alkality, úprava pH – potlačení koroze) a biocidy (pro eliminaci růstu mikroorganismů a zanesení systému). Biocidy a inhibitory je třeba do systému d</w:t>
      </w:r>
      <w:r>
        <w:rPr>
          <w:rFonts w:ascii="Arial Narrow" w:eastAsia="Arial Narrow" w:hAnsi="Arial Narrow" w:cs="Arial Narrow"/>
          <w:color w:val="000000"/>
          <w:szCs w:val="20"/>
        </w:rPr>
        <w:t>oplňovat v rámci údržby.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Požadavky na kvalitu topné vody dle ČSN 07 7401: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Doplňovací voda tvrdost max. 0,03 mmol/l; Koncentrace Železo + Mangan max. 0,3mg/l</w:t>
      </w:r>
    </w:p>
    <w:p w:rsidR="00F35B02" w:rsidRDefault="0070287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Oběhová voda pH 8,5 (ne menší než 7); rozpuštěný fosforečnan sodný Na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3</w:t>
      </w:r>
      <w:r>
        <w:rPr>
          <w:rFonts w:ascii="Arial Narrow" w:eastAsia="Arial Narrow" w:hAnsi="Arial Narrow" w:cs="Arial Narrow"/>
          <w:color w:val="000000"/>
          <w:szCs w:val="20"/>
        </w:rPr>
        <w:t>PO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4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měřený jako P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  <w:szCs w:val="20"/>
        </w:rPr>
        <w:t>O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5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5-15 mg/l; přebytek siřičitanu sodného Na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  <w:szCs w:val="20"/>
        </w:rPr>
        <w:t>SO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3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10-40 mg/l; zjevná alkalita KNK</w:t>
      </w:r>
      <w:r>
        <w:rPr>
          <w:rFonts w:ascii="Arial Narrow" w:eastAsia="Arial Narrow" w:hAnsi="Arial Narrow" w:cs="Arial Narrow"/>
          <w:color w:val="000000"/>
          <w:szCs w:val="20"/>
          <w:vertAlign w:val="subscript"/>
        </w:rPr>
        <w:t>8,3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0,5-1,5 mmol/l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Tepelné izolace: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Rozvodné potrubí bude izolováno samolepícími termoizolačními trubicemi </w:t>
      </w:r>
      <w:r>
        <w:rPr>
          <w:rFonts w:ascii="Arial Narrow" w:eastAsia="Arial Narrow" w:hAnsi="Arial Narrow" w:cs="Arial Narrow"/>
        </w:rPr>
        <w:t>s uzavřenou buněčnou strukturou,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která </w:t>
      </w:r>
      <w:r>
        <w:rPr>
          <w:rFonts w:ascii="Arial Narrow" w:eastAsia="Arial Narrow" w:hAnsi="Arial Narrow" w:cs="Arial Narrow"/>
        </w:rPr>
        <w:t>zaručí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paronepropustnost. Spoje izolací budou </w:t>
      </w:r>
      <w:r>
        <w:rPr>
          <w:rFonts w:ascii="Arial Narrow" w:eastAsia="Arial Narrow" w:hAnsi="Arial Narrow" w:cs="Arial Narrow"/>
        </w:rPr>
        <w:t>lepeny.</w:t>
      </w:r>
      <w:r>
        <w:rPr>
          <w:rFonts w:ascii="Arial Narrow" w:eastAsia="Arial Narrow" w:hAnsi="Arial Narrow" w:cs="Arial Narrow"/>
          <w:color w:val="000000"/>
          <w:szCs w:val="20"/>
        </w:rPr>
        <w:t>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Součinitel tepelné vodivosti izolace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0,0</w:t>
      </w:r>
      <w:r>
        <w:rPr>
          <w:rFonts w:ascii="Arial Narrow" w:eastAsia="Arial Narrow" w:hAnsi="Arial Narrow" w:cs="Arial Narrow"/>
        </w:rPr>
        <w:t>35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W/m.K (při 20°C)</w:t>
      </w:r>
    </w:p>
    <w:tbl>
      <w:tblPr>
        <w:tblStyle w:val="a1"/>
        <w:tblW w:w="8955" w:type="dxa"/>
        <w:tblInd w:w="-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811"/>
        <w:gridCol w:w="964"/>
        <w:gridCol w:w="1623"/>
      </w:tblGrid>
      <w:tr w:rsidR="00F35B02">
        <w:tc>
          <w:tcPr>
            <w:tcW w:w="55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lastRenderedPageBreak/>
              <w:t>Vnitřní průměr potrubí</w:t>
            </w:r>
          </w:p>
        </w:tc>
        <w:tc>
          <w:tcPr>
            <w:tcW w:w="8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&lt;22 mm</w:t>
            </w:r>
          </w:p>
        </w:tc>
        <w:tc>
          <w:tcPr>
            <w:tcW w:w="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22 - 35mm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42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 mm</w:t>
            </w:r>
          </w:p>
        </w:tc>
      </w:tr>
      <w:tr w:rsidR="00F35B02">
        <w:tc>
          <w:tcPr>
            <w:tcW w:w="55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Min. Tloušťka izolace</w:t>
            </w:r>
          </w:p>
        </w:tc>
        <w:tc>
          <w:tcPr>
            <w:tcW w:w="8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25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25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25 mm</w:t>
            </w:r>
          </w:p>
        </w:tc>
      </w:tr>
      <w:tr w:rsidR="00F35B02">
        <w:tc>
          <w:tcPr>
            <w:tcW w:w="55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Min. tloušťka izolace při vedení v otvorech stěn a stropů, v úsecích křížení rozvodů, ve spojovacích místech aj.</w:t>
            </w:r>
          </w:p>
        </w:tc>
        <w:tc>
          <w:tcPr>
            <w:tcW w:w="8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10 mm</w:t>
            </w:r>
          </w:p>
        </w:tc>
        <w:tc>
          <w:tcPr>
            <w:tcW w:w="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15 mm</w:t>
            </w:r>
          </w:p>
        </w:tc>
        <w:tc>
          <w:tcPr>
            <w:tcW w:w="16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5B02" w:rsidRDefault="0070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1/2 vnitřního průměru trubky</w:t>
            </w:r>
          </w:p>
        </w:tc>
      </w:tr>
    </w:tbl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Pokud se rozvody ústředního topení nacházejí ve vyhřívaných prostorách nebo konstrukcích mezi vyhřívanými prostory jednoho uživatele a jejich předávání tepla lze ovlivnit uzavíracími zařízeními, nejsou kladeny žádné požadavky na minimální tloušťku izolační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vrstvy, je však vhodné tyto rozvody zaizolovat kvůli neřízenému předávání tepla, zvukové izolaci, dilataci a ochraně potrubí.  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Kulové kohouty, separátor magnetitu, oběhové čerpadla aj. jsou vybaveny systémovým termoizolačním pouzdrem.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6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Akumulační nádoby b</w:t>
      </w:r>
      <w:r>
        <w:rPr>
          <w:rFonts w:ascii="Arial Narrow" w:eastAsia="Arial Narrow" w:hAnsi="Arial Narrow" w:cs="Arial Narrow"/>
          <w:color w:val="000000"/>
          <w:szCs w:val="20"/>
        </w:rPr>
        <w:t>udou vybaveny systémovou izolací – stříkanou PU pěnou.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before="12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b/>
          <w:color w:val="000000"/>
          <w:szCs w:val="20"/>
        </w:rPr>
        <w:t>Větrání: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  <w:tab w:val="left" w:pos="3402"/>
          <w:tab w:val="right" w:pos="6237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7" w:name="_heading=h.t6zzq4f1hasx" w:colFirst="0" w:colLast="0"/>
      <w:bookmarkEnd w:id="7"/>
      <w:r>
        <w:rPr>
          <w:rFonts w:ascii="Arial Narrow" w:eastAsia="Arial Narrow" w:hAnsi="Arial Narrow" w:cs="Arial Narrow"/>
          <w:color w:val="000000"/>
          <w:szCs w:val="20"/>
        </w:rPr>
        <w:t xml:space="preserve">Celý objekt je vytápěn nuceně vzduchotechnickou jednotkou s rekuperací tepla (zohledněno při výpočtu tepelných ztrát). Ohřev vzduchu ve vzt jednotce bude přímou kondenzací – tepelné čerpadlo vzduch / vzduch </w:t>
      </w:r>
      <w:r>
        <w:rPr>
          <w:rFonts w:ascii="Arial Narrow" w:eastAsia="Arial Narrow" w:hAnsi="Arial Narrow" w:cs="Arial Narrow"/>
        </w:rPr>
        <w:t>+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doplňkovým elektrickým ohřívačem. Vzduchotechni</w:t>
      </w:r>
      <w:r>
        <w:rPr>
          <w:rFonts w:ascii="Arial Narrow" w:eastAsia="Arial Narrow" w:hAnsi="Arial Narrow" w:cs="Arial Narrow"/>
          <w:color w:val="000000"/>
          <w:szCs w:val="20"/>
        </w:rPr>
        <w:t>cká jednotka nebude napájena hlavním zdrojem tepla – tep. čerpadlem vzduch / voda.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NÁROKY NA ENERGIE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</w:rPr>
        <w:t>Silové napájení / jištění</w:t>
      </w:r>
      <w:r>
        <w:rPr>
          <w:rFonts w:ascii="Arial Narrow" w:eastAsia="Arial Narrow" w:hAnsi="Arial Narrow" w:cs="Arial Narrow"/>
          <w:color w:val="000000"/>
          <w:szCs w:val="20"/>
        </w:rPr>
        <w:t>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   Napájení tepelného čerpadla 3x400V, 32A (Max. prov. proud 35A)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   Připojení signálu HDO do tepelného čerpadla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 Topná tyč TV: 3~400/~230V; 2,0kW, záloha zdroje tepla – bez souběhu s tep. čerpadlem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 Topná tyč AKU: 3~400V; 10kW, záloha zdroje tepla – bez souběhu s tep. čerpadlem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 Reg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podlahového vytápění: samostatně jištěná zásuvka 1x230V ve skříni rozdělovače / </w:t>
      </w:r>
      <w:r>
        <w:rPr>
          <w:rFonts w:ascii="Arial Narrow" w:eastAsia="Arial Narrow" w:hAnsi="Arial Narrow" w:cs="Arial Narrow"/>
          <w:color w:val="000000"/>
          <w:szCs w:val="20"/>
        </w:rPr>
        <w:t>sběrače (na každém patře) / celkem 3x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 Automatické doplňování systému vyt: zásuvka 1x230V v technické místnosti</w:t>
      </w:r>
    </w:p>
    <w:p w:rsidR="00F35B02" w:rsidRDefault="0070287A">
      <w:pPr>
        <w:ind w:left="0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 Tablet pro nastavení a ovládání systému pdl vytápění: zásuvka 1x230V v technické místnosti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TEPELNÁ BILANCE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Tepelná ztráta objektu prostupem t</w:t>
      </w:r>
      <w:r>
        <w:rPr>
          <w:rFonts w:ascii="Arial Narrow" w:eastAsia="Arial Narrow" w:hAnsi="Arial Narrow" w:cs="Arial Narrow"/>
          <w:color w:val="000000"/>
          <w:szCs w:val="20"/>
        </w:rPr>
        <w:t>epla a netěstnostmi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18,65 kW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Tepelná ztráta obektu větráním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11,94 kW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8" w:name="_heading=h.iem6wdnmzpza" w:colFirst="0" w:colLast="0"/>
      <w:bookmarkEnd w:id="8"/>
      <w:r>
        <w:rPr>
          <w:rFonts w:ascii="Arial Narrow" w:eastAsia="Arial Narrow" w:hAnsi="Arial Narrow" w:cs="Arial Narrow"/>
          <w:color w:val="000000"/>
          <w:szCs w:val="20"/>
        </w:rPr>
        <w:t>Roční potřeba tepla na vytápění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</w:r>
      <w:r>
        <w:rPr>
          <w:rFonts w:ascii="Arial Narrow" w:eastAsia="Arial Narrow" w:hAnsi="Arial Narrow" w:cs="Arial Narrow"/>
          <w:color w:val="000000"/>
          <w:szCs w:val="20"/>
        </w:rPr>
        <w:tab/>
        <w:t>250 GJ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POŽADAVKY NA PROFESE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STAVBA:</w:t>
      </w:r>
      <w:r>
        <w:rPr>
          <w:rFonts w:ascii="Arial Narrow" w:eastAsia="Arial Narrow" w:hAnsi="Arial Narrow" w:cs="Arial Narrow"/>
          <w:color w:val="000000"/>
          <w:szCs w:val="20"/>
        </w:rPr>
        <w:tab/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součinnost při montáži vyt, koordinace s ostatními profesemi 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</w:rPr>
        <w:t>vymezení dilatačních spár s ohledem na finální podlahy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zabetonování hadů podlahového vytápění do cementové mazaniny</w:t>
      </w:r>
      <w:r>
        <w:rPr>
          <w:rFonts w:ascii="Arial Narrow" w:eastAsia="Arial Narrow" w:hAnsi="Arial Narrow" w:cs="Arial Narrow"/>
        </w:rPr>
        <w:t xml:space="preserve"> s plastifikátory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zakomponování rozdělovače – sběrače pdl vyt do nábytkového vybavení – servisní přístup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vymalování po dokončení montáže vzt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kontejner, místo pro uložení suti a odpadů na staveništi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prostupka fasádou pro kabeláž venkovního čidla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</w:rPr>
        <w:t>o</w:t>
      </w:r>
      <w:r>
        <w:rPr>
          <w:rFonts w:ascii="Arial Narrow" w:eastAsia="Arial Narrow" w:hAnsi="Arial Narrow" w:cs="Arial Narrow"/>
          <w:color w:val="000000"/>
          <w:szCs w:val="20"/>
        </w:rPr>
        <w:t>značení úrovně čisté podlahy v místnostech s otopnými tělesy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energie pro montáž, el.napětí 3/400V/50Hz a vodu z vodovodního řádu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zařízení staveniště – </w:t>
      </w:r>
      <w:r>
        <w:rPr>
          <w:rFonts w:ascii="Arial Narrow" w:eastAsia="Arial Narrow" w:hAnsi="Arial Narrow" w:cs="Arial Narrow"/>
          <w:color w:val="000000"/>
          <w:szCs w:val="20"/>
        </w:rPr>
        <w:t>toaleta, umyvárna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zabezpečení staveniště proti vniknutí cizích osob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stanovení polohy pohledových prostorových </w:t>
      </w:r>
      <w:r>
        <w:rPr>
          <w:rFonts w:ascii="Arial Narrow" w:eastAsia="Arial Narrow" w:hAnsi="Arial Narrow" w:cs="Arial Narrow"/>
        </w:rPr>
        <w:t>čidel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 v součinnosti s profesí vytápění 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SI+SLP: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napájení / jištění tepelného čerpadla (pouze vnitřní jednotky)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připojení signálu HDO do vnitřní jednotky tepelného čerpadla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uzemnění tepelného čerpadla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napájení / jištění a topných tyčí v nádobách VYT a TV 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samostatně jištěná zásuvka pro regulaci podlahového vytápění uvnitř rozdělovače pdl. Vyt / 3x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zásuvka v technick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é místnosti 2 + 2 ks pro </w:t>
      </w:r>
      <w:r>
        <w:rPr>
          <w:rFonts w:ascii="Arial Narrow" w:eastAsia="Arial Narrow" w:hAnsi="Arial Narrow" w:cs="Arial Narrow"/>
        </w:rPr>
        <w:t>zařízení vyt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ethernetová zásuvka pro TČ, zapojit do místí sítě + sítě internet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zapojení rozvaděče pdl vytápění master do místní sítě / sítě internet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lastRenderedPageBreak/>
        <w:t>vzájemná koordinace vedení v technické místnosti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ZTI: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umístění vpusti v technické </w:t>
      </w:r>
      <w:r>
        <w:rPr>
          <w:rFonts w:ascii="Arial Narrow" w:eastAsia="Arial Narrow" w:hAnsi="Arial Narrow" w:cs="Arial Narrow"/>
          <w:color w:val="000000"/>
          <w:szCs w:val="20"/>
        </w:rPr>
        <w:t>místnosti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odvod úkapu od pojistných ventilů v technické místnosti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</w:rPr>
        <w:t>přívod studené vody v technické místnosti DN20-25 zakončeno uzavírací armaturou (pro dopouštění systému vyt)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vzájemná koordinace vedení v technické místnosti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UT: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vzájemná koordinace vedení v</w:t>
      </w:r>
      <w:r>
        <w:rPr>
          <w:rFonts w:ascii="Arial Narrow" w:eastAsia="Arial Narrow" w:hAnsi="Arial Narrow" w:cs="Arial Narrow"/>
          <w:color w:val="000000"/>
          <w:szCs w:val="20"/>
        </w:rPr>
        <w:t> technické místnosti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drážky ve zdech pro vedení potrubí vyt a kabeláže regulace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prostupy pro vedení potrubí vyt a kabeláže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ochrana neuzavřených potrubí proti vniknutí prachu a nečistot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rozdělení odpadů dle kategorií pro recyklaci dle pokynů stavebníka / investora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kompletní prokabelování – Tepelné čerpadlo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kompletní prokabelování – Regulace podlahového vytápění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uvedení tepelného čerpadla do provozu, zaškolení obsluhy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uvedení do provozu re</w:t>
      </w:r>
      <w:r>
        <w:rPr>
          <w:rFonts w:ascii="Arial Narrow" w:eastAsia="Arial Narrow" w:hAnsi="Arial Narrow" w:cs="Arial Narrow"/>
          <w:color w:val="000000"/>
          <w:szCs w:val="20"/>
        </w:rPr>
        <w:t>gulace podlahového vytápění, zaškolení obsluhy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MONTÁŽ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Stavební předpoklady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Místnosti musí být zastřešené, musí být osazena okna a dveře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Stěny musí být omítnuté, za otopnými tělesy vymalované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Pro montáž rozdělovače topného okruhu budou provedeny kapsy ve zdech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Musí být provedena elektrická a vodovodní přípojka (pro montáž a tlakovou zkoušku)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Nosná část podlahy musí být dostatečně pevná, očištěná a musí splňovat tolerance rovnosti dle DIN 18202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Musí být v každé místnosti označena úroveň čisté podlahy – nivelační značka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Musí být poskytnut v přestihu plán spár kvůli dilatačním rovinám</w:t>
      </w:r>
    </w:p>
    <w:p w:rsidR="00F35B02" w:rsidRDefault="0070287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>Tepelné / kročejové izolace musí být pevně, systémové určené k danému účelu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Montáž systému vytápění bude probíhat </w:t>
      </w:r>
      <w:r>
        <w:rPr>
          <w:rFonts w:ascii="Arial Narrow" w:eastAsia="Arial Narrow" w:hAnsi="Arial Narrow" w:cs="Arial Narrow"/>
          <w:color w:val="000000"/>
          <w:szCs w:val="20"/>
        </w:rPr>
        <w:t>po instalaci tepelné / kročejové izolaci podlah. Před zakrytím rozvodů musí proběhnout tlaková zkouška. Během montáže bude dbáno na ochranu nenapojených potrubí proti vniknutí prachu a nečistot. Po dokončení montáže, před spuštěním systému proběhne proplác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hnutí systému, napuštění systému upravenou vodou a řádné odvzdušnění. Poté spuštění a seřízení tepelného čerpadla (zajistí profese VYT), topná zkouška a hydraulické vyvážení soustavy. Na závěr proběhne zaškolení obsluhy. 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  <w:sz w:val="6"/>
          <w:szCs w:val="6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9" w:name="_heading=h.ifykgnqkluyr" w:colFirst="0" w:colLast="0"/>
      <w:bookmarkEnd w:id="9"/>
      <w:r>
        <w:rPr>
          <w:rFonts w:ascii="Arial Narrow" w:eastAsia="Arial Narrow" w:hAnsi="Arial Narrow" w:cs="Arial Narrow"/>
          <w:color w:val="000000"/>
          <w:szCs w:val="20"/>
        </w:rPr>
        <w:t>Dodávku, montáž a kompletaci díla provede odborně způsobilá montážní firma, či osoba a bude odpovědností dodavatele za správné provedení montáže jednotlivých zařízení a s tím spojených prací. Zhotovitel díla doplní informace uvedené v projektu obecně platn</w:t>
      </w:r>
      <w:r>
        <w:rPr>
          <w:rFonts w:ascii="Arial Narrow" w:eastAsia="Arial Narrow" w:hAnsi="Arial Narrow" w:cs="Arial Narrow"/>
          <w:color w:val="000000"/>
          <w:szCs w:val="20"/>
        </w:rPr>
        <w:t>ými zásadami montáže a svými vlastními znalostmi a zkušenostmi tak, aby mohl provést montáž výše popsaného zařízení. Je nutné ze stavbou koordinovat veškeré prostupy stavebními konstrukcemi. Zhotovitel je povinen zajistit, že veškeré materiály používané př</w:t>
      </w:r>
      <w:r>
        <w:rPr>
          <w:rFonts w:ascii="Arial Narrow" w:eastAsia="Arial Narrow" w:hAnsi="Arial Narrow" w:cs="Arial Narrow"/>
          <w:color w:val="000000"/>
          <w:szCs w:val="20"/>
        </w:rPr>
        <w:t>i výstavbě budou v souladu s projektovou dokumentací, odpovídajícími českými normami a platnými vyhláškami. Zhotovitel bude rovněž povinen zajistit, že všechny použité importované materiály a zařízení budou mít platné certifikáty a že budou v souladu s rel</w:t>
      </w:r>
      <w:r>
        <w:rPr>
          <w:rFonts w:ascii="Arial Narrow" w:eastAsia="Arial Narrow" w:hAnsi="Arial Narrow" w:cs="Arial Narrow"/>
          <w:color w:val="000000"/>
          <w:szCs w:val="20"/>
        </w:rPr>
        <w:t>evantními předpisy ČSN a zkušebními požadavky. Provedení a odstín barvy u koncových elementů v exteriéru a v interiéru budou před dodávkou odsouhlaseny s generálním projektantem stavby. Ve všech případech musí být vždy zachován snadný přístup ke všem kompo</w:t>
      </w:r>
      <w:r>
        <w:rPr>
          <w:rFonts w:ascii="Arial Narrow" w:eastAsia="Arial Narrow" w:hAnsi="Arial Narrow" w:cs="Arial Narrow"/>
          <w:color w:val="000000"/>
          <w:szCs w:val="20"/>
        </w:rPr>
        <w:t>nentům, které vyžadují seřizování, údržbu, kontrolu, revizi atd. Veškeré realizované změny se zaznamenávají do dokumentace skutečného provedení.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OCHRANA ŽIVOTNÍHO PROSTŘEDÍ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bookmarkStart w:id="10" w:name="_heading=h.6c39dr61xm49" w:colFirst="0" w:colLast="0"/>
      <w:bookmarkEnd w:id="10"/>
      <w:r>
        <w:rPr>
          <w:rFonts w:ascii="Arial Narrow" w:eastAsia="Arial Narrow" w:hAnsi="Arial Narrow" w:cs="Arial Narrow"/>
          <w:color w:val="000000"/>
          <w:szCs w:val="20"/>
        </w:rPr>
        <w:t>Při montáži a následném provozu zařízení vznikají odpady, které je povinen dodavate</w:t>
      </w:r>
      <w:r>
        <w:rPr>
          <w:rFonts w:ascii="Arial Narrow" w:eastAsia="Arial Narrow" w:hAnsi="Arial Narrow" w:cs="Arial Narrow"/>
          <w:color w:val="000000"/>
          <w:szCs w:val="20"/>
        </w:rPr>
        <w:t>l a provozovatel zařízení ekologicky zlikvidovat předepsaným způsobem, jedná se především o tuhé odpady, kterými jsou fólie, polystyrénové a papírové obaly, kovové části z oceli a plastu, izolační materiál. Zařízení neobsahují jiné toxické, radioaktivní ne</w:t>
      </w:r>
      <w:r>
        <w:rPr>
          <w:rFonts w:ascii="Arial Narrow" w:eastAsia="Arial Narrow" w:hAnsi="Arial Narrow" w:cs="Arial Narrow"/>
          <w:color w:val="000000"/>
          <w:szCs w:val="20"/>
        </w:rPr>
        <w:t>bo nebezpečné látky.</w:t>
      </w:r>
    </w:p>
    <w:p w:rsidR="00F35B02" w:rsidRDefault="0070287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60" w:line="240" w:lineRule="auto"/>
        <w:ind w:left="0" w:hanging="2"/>
        <w:jc w:val="both"/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</w:pPr>
      <w:r>
        <w:rPr>
          <w:rFonts w:ascii="Arial Narrow" w:eastAsia="Arial Narrow" w:hAnsi="Arial Narrow" w:cs="Arial Narrow"/>
          <w:b/>
          <w:smallCaps/>
          <w:color w:val="000000"/>
          <w:sz w:val="24"/>
          <w:u w:val="single"/>
        </w:rPr>
        <w:t>ZAVĚR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  <w:r>
        <w:rPr>
          <w:rFonts w:ascii="Arial Narrow" w:eastAsia="Arial Narrow" w:hAnsi="Arial Narrow" w:cs="Arial Narrow"/>
          <w:color w:val="000000"/>
          <w:szCs w:val="20"/>
        </w:rPr>
        <w:t xml:space="preserve">Zařízení vytápění bude plnit svou zamýšlenou funkci za předpokladu, že bude vyrobeno, namontováno, seřízeno a obsluhováno dle popisu projektové dokumentace, norem a předpisů výrobců. Tato dokumentace odpovídá projektu pro zadání </w:t>
      </w:r>
      <w:r>
        <w:rPr>
          <w:rFonts w:ascii="Arial Narrow" w:eastAsia="Arial Narrow" w:hAnsi="Arial Narrow" w:cs="Arial Narrow"/>
          <w:color w:val="000000"/>
          <w:szCs w:val="20"/>
        </w:rPr>
        <w:t xml:space="preserve">stavby. </w:t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  <w:szCs w:val="20"/>
        </w:rPr>
      </w:pP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</w:p>
    <w:p w:rsidR="00F35B02" w:rsidRDefault="00F35B02" w:rsidP="00AE2BB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 w:cs="Arial"/>
        </w:rPr>
      </w:pPr>
      <w:bookmarkStart w:id="11" w:name="_GoBack"/>
      <w:bookmarkEnd w:id="11"/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  <w:r>
        <w:rPr>
          <w:rFonts w:eastAsia="Arial" w:cs="Arial"/>
        </w:rPr>
        <w:lastRenderedPageBreak/>
        <w:t>TEPELNÉ ČERPADLO: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  <w:r>
        <w:rPr>
          <w:rFonts w:eastAsia="Arial" w:cs="Arial"/>
          <w:noProof/>
        </w:rPr>
        <w:drawing>
          <wp:inline distT="114300" distB="114300" distL="114300" distR="114300">
            <wp:extent cx="6057583" cy="7737652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7583" cy="773765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35B02" w:rsidRDefault="00F35B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  <w:r>
        <w:rPr>
          <w:rFonts w:eastAsia="Arial" w:cs="Arial"/>
          <w:noProof/>
        </w:rPr>
        <w:lastRenderedPageBreak/>
        <w:drawing>
          <wp:inline distT="114300" distB="114300" distL="114300" distR="114300">
            <wp:extent cx="6184590" cy="8496300"/>
            <wp:effectExtent l="0" t="0" r="0" b="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4590" cy="8496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  <w:r>
        <w:rPr>
          <w:rFonts w:eastAsia="Arial" w:cs="Arial"/>
        </w:rPr>
        <w:lastRenderedPageBreak/>
        <w:t>ZÁSOBNÍK TV - VÝMĚNÍK</w:t>
      </w:r>
    </w:p>
    <w:p w:rsidR="00F35B02" w:rsidRDefault="007028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 w:cs="Arial"/>
        </w:rPr>
      </w:pPr>
      <w:r>
        <w:rPr>
          <w:rFonts w:eastAsia="Arial" w:cs="Arial"/>
          <w:noProof/>
        </w:rPr>
        <w:drawing>
          <wp:inline distT="114300" distB="114300" distL="114300" distR="114300">
            <wp:extent cx="6184590" cy="47117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4590" cy="4711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F35B02">
      <w:headerReference w:type="default" r:id="rId11"/>
      <w:footerReference w:type="even" r:id="rId12"/>
      <w:footerReference w:type="default" r:id="rId13"/>
      <w:pgSz w:w="11906" w:h="16838"/>
      <w:pgMar w:top="1134" w:right="74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87A" w:rsidRDefault="0070287A">
      <w:pPr>
        <w:spacing w:line="240" w:lineRule="auto"/>
        <w:ind w:left="0" w:hanging="2"/>
      </w:pPr>
      <w:r>
        <w:separator/>
      </w:r>
    </w:p>
  </w:endnote>
  <w:endnote w:type="continuationSeparator" w:id="0">
    <w:p w:rsidR="0070287A" w:rsidRDefault="007028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B02" w:rsidRDefault="0070287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eastAsia="Arial" w:cs="Arial"/>
        <w:color w:val="000000"/>
        <w:szCs w:val="20"/>
      </w:rPr>
    </w:pPr>
    <w:r>
      <w:rPr>
        <w:rFonts w:eastAsia="Arial" w:cs="Arial"/>
        <w:color w:val="000000"/>
        <w:szCs w:val="20"/>
      </w:rPr>
      <w:fldChar w:fldCharType="begin"/>
    </w:r>
    <w:r>
      <w:rPr>
        <w:rFonts w:eastAsia="Arial" w:cs="Arial"/>
        <w:color w:val="000000"/>
        <w:szCs w:val="20"/>
      </w:rPr>
      <w:instrText>PAGE</w:instrText>
    </w:r>
    <w:r>
      <w:rPr>
        <w:rFonts w:eastAsia="Arial" w:cs="Arial"/>
        <w:color w:val="000000"/>
        <w:szCs w:val="20"/>
      </w:rPr>
      <w:fldChar w:fldCharType="end"/>
    </w:r>
  </w:p>
  <w:p w:rsidR="00F35B02" w:rsidRDefault="00F35B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rFonts w:eastAsia="Arial" w:cs="Arial"/>
        <w:color w:val="00000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B02" w:rsidRDefault="00F35B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 w:cs="Arial"/>
        <w:color w:val="000000"/>
        <w:szCs w:val="20"/>
      </w:rPr>
    </w:pPr>
  </w:p>
  <w:tbl>
    <w:tblPr>
      <w:tblStyle w:val="a3"/>
      <w:tblW w:w="9790" w:type="dxa"/>
      <w:tblInd w:w="-7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90"/>
      <w:gridCol w:w="5580"/>
      <w:gridCol w:w="1440"/>
      <w:gridCol w:w="1980"/>
    </w:tblGrid>
    <w:tr w:rsidR="00F35B02">
      <w:trPr>
        <w:cantSplit/>
        <w:trHeight w:val="166"/>
      </w:trPr>
      <w:tc>
        <w:tcPr>
          <w:tcW w:w="790" w:type="dxa"/>
          <w:vMerge w:val="restart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>Stupeň projektu:</w:t>
          </w:r>
        </w:p>
      </w:tc>
      <w:tc>
        <w:tcPr>
          <w:tcW w:w="5580" w:type="dxa"/>
          <w:vMerge w:val="restart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Projektová dokumentace pro </w:t>
          </w:r>
          <w:r>
            <w:rPr>
              <w:rFonts w:ascii="Arial Narrow" w:eastAsia="Arial Narrow" w:hAnsi="Arial Narrow" w:cs="Arial Narrow"/>
              <w:sz w:val="18"/>
              <w:szCs w:val="18"/>
            </w:rPr>
            <w:t>provedení stavby</w:t>
          </w:r>
        </w:p>
      </w:tc>
      <w:tc>
        <w:tcPr>
          <w:tcW w:w="144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 xml:space="preserve">Datum: </w:t>
          </w:r>
        </w:p>
      </w:tc>
      <w:tc>
        <w:tcPr>
          <w:tcW w:w="198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sz w:val="18"/>
              <w:szCs w:val="18"/>
            </w:rPr>
            <w:t>08</w:t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>/20</w:t>
          </w:r>
          <w:r>
            <w:rPr>
              <w:rFonts w:ascii="Arial Narrow" w:eastAsia="Arial Narrow" w:hAnsi="Arial Narrow" w:cs="Arial Narrow"/>
              <w:sz w:val="18"/>
              <w:szCs w:val="18"/>
            </w:rPr>
            <w:t>25</w:t>
          </w:r>
        </w:p>
      </w:tc>
    </w:tr>
    <w:tr w:rsidR="00F35B02">
      <w:trPr>
        <w:cantSplit/>
        <w:trHeight w:val="126"/>
      </w:trPr>
      <w:tc>
        <w:tcPr>
          <w:tcW w:w="790" w:type="dxa"/>
          <w:vMerge/>
          <w:vAlign w:val="center"/>
        </w:tcPr>
        <w:p w:rsidR="00F35B02" w:rsidRDefault="00F35B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</w:p>
      </w:tc>
      <w:tc>
        <w:tcPr>
          <w:tcW w:w="5580" w:type="dxa"/>
          <w:vMerge/>
          <w:vAlign w:val="center"/>
        </w:tcPr>
        <w:p w:rsidR="00F35B02" w:rsidRDefault="00F35B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</w:p>
      </w:tc>
      <w:tc>
        <w:tcPr>
          <w:tcW w:w="144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 xml:space="preserve">Číslo dokumentu: </w:t>
          </w:r>
        </w:p>
      </w:tc>
      <w:tc>
        <w:tcPr>
          <w:tcW w:w="198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001 </w:t>
          </w:r>
        </w:p>
      </w:tc>
    </w:tr>
    <w:tr w:rsidR="00F35B02">
      <w:trPr>
        <w:cantSplit/>
        <w:trHeight w:val="70"/>
      </w:trPr>
      <w:tc>
        <w:tcPr>
          <w:tcW w:w="790" w:type="dxa"/>
          <w:vMerge/>
          <w:vAlign w:val="center"/>
        </w:tcPr>
        <w:p w:rsidR="00F35B02" w:rsidRDefault="00F35B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</w:p>
      </w:tc>
      <w:tc>
        <w:tcPr>
          <w:tcW w:w="5580" w:type="dxa"/>
          <w:vMerge/>
          <w:vAlign w:val="center"/>
        </w:tcPr>
        <w:p w:rsidR="00F35B02" w:rsidRDefault="00F35B0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</w:p>
      </w:tc>
      <w:tc>
        <w:tcPr>
          <w:tcW w:w="144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>Strana:</w:t>
          </w:r>
        </w:p>
      </w:tc>
      <w:tc>
        <w:tcPr>
          <w:tcW w:w="198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Strana </w:t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instrText>PAGE</w:instrText>
          </w:r>
          <w:r w:rsidR="00AE2BB6"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separate"/>
          </w:r>
          <w:r w:rsidR="00AE2BB6">
            <w:rPr>
              <w:rFonts w:ascii="Arial Narrow" w:eastAsia="Arial Narrow" w:hAnsi="Arial Narrow" w:cs="Arial Narrow"/>
              <w:noProof/>
              <w:color w:val="000000"/>
              <w:sz w:val="18"/>
              <w:szCs w:val="18"/>
            </w:rPr>
            <w:t>3</w:t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 (celkem </w:t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instrText>NUMPAGES</w:instrText>
          </w:r>
          <w:r w:rsidR="00AE2BB6"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separate"/>
          </w:r>
          <w:r w:rsidR="00AE2BB6">
            <w:rPr>
              <w:rFonts w:ascii="Arial Narrow" w:eastAsia="Arial Narrow" w:hAnsi="Arial Narrow" w:cs="Arial Narrow"/>
              <w:noProof/>
              <w:color w:val="000000"/>
              <w:sz w:val="18"/>
              <w:szCs w:val="18"/>
            </w:rPr>
            <w:t>9</w:t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>)</w:t>
          </w:r>
        </w:p>
      </w:tc>
    </w:tr>
  </w:tbl>
  <w:p w:rsidR="00F35B02" w:rsidRDefault="00F35B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rFonts w:eastAsia="Arial" w:cs="Arial"/>
        <w:color w:val="00000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87A" w:rsidRDefault="0070287A">
      <w:pPr>
        <w:spacing w:line="240" w:lineRule="auto"/>
        <w:ind w:left="0" w:hanging="2"/>
      </w:pPr>
      <w:r>
        <w:separator/>
      </w:r>
    </w:p>
  </w:footnote>
  <w:footnote w:type="continuationSeparator" w:id="0">
    <w:p w:rsidR="0070287A" w:rsidRDefault="007028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B02" w:rsidRDefault="00F35B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 w:cs="Arial"/>
        <w:color w:val="000000"/>
        <w:szCs w:val="20"/>
      </w:rPr>
    </w:pPr>
  </w:p>
  <w:tbl>
    <w:tblPr>
      <w:tblStyle w:val="a2"/>
      <w:tblW w:w="9790" w:type="dxa"/>
      <w:tblInd w:w="-7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330"/>
      <w:gridCol w:w="4849"/>
      <w:gridCol w:w="911"/>
      <w:gridCol w:w="2700"/>
    </w:tblGrid>
    <w:tr w:rsidR="00F35B02">
      <w:tc>
        <w:tcPr>
          <w:tcW w:w="133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 xml:space="preserve">Název projektu: </w:t>
          </w:r>
        </w:p>
      </w:tc>
      <w:tc>
        <w:tcPr>
          <w:tcW w:w="4849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eastAsia="Arial" w:cs="Arial"/>
              <w:b/>
              <w:color w:val="000000"/>
              <w:sz w:val="16"/>
              <w:szCs w:val="16"/>
            </w:rPr>
            <w:t>VÝSTAVBA NOVÉHO OBJEKTU UČEBEN V AREÁLU ZŠ ŠKOLNÍ NÁMĚSTÍ</w:t>
          </w:r>
        </w:p>
      </w:tc>
      <w:tc>
        <w:tcPr>
          <w:tcW w:w="911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>Zpracovatel:</w:t>
          </w:r>
        </w:p>
      </w:tc>
      <w:tc>
        <w:tcPr>
          <w:tcW w:w="270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>Ing. Dušan Navrátil</w:t>
          </w:r>
        </w:p>
      </w:tc>
    </w:tr>
    <w:tr w:rsidR="00F35B02">
      <w:tc>
        <w:tcPr>
          <w:tcW w:w="1330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>Profese/ část PD:</w:t>
          </w:r>
        </w:p>
      </w:tc>
      <w:tc>
        <w:tcPr>
          <w:tcW w:w="4849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eastAsia="Arial" w:cs="Arial"/>
              <w:b/>
              <w:color w:val="000000"/>
              <w:sz w:val="16"/>
              <w:szCs w:val="16"/>
            </w:rPr>
            <w:t>VYTÁPĚNÍ – TECHNICKÁ ZPRÁVA</w:t>
          </w:r>
        </w:p>
      </w:tc>
      <w:tc>
        <w:tcPr>
          <w:tcW w:w="911" w:type="dxa"/>
          <w:vAlign w:val="center"/>
        </w:tcPr>
        <w:p w:rsidR="00F35B02" w:rsidRDefault="007028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rPr>
              <w:rFonts w:eastAsia="Arial" w:cs="Arial"/>
              <w:color w:val="000000"/>
              <w:sz w:val="14"/>
              <w:szCs w:val="14"/>
            </w:rPr>
          </w:pPr>
          <w:r>
            <w:rPr>
              <w:rFonts w:eastAsia="Arial" w:cs="Arial"/>
              <w:color w:val="000000"/>
              <w:sz w:val="14"/>
              <w:szCs w:val="14"/>
            </w:rPr>
            <w:t>Zakázka:</w:t>
          </w:r>
        </w:p>
      </w:tc>
      <w:tc>
        <w:tcPr>
          <w:tcW w:w="2700" w:type="dxa"/>
          <w:vAlign w:val="center"/>
        </w:tcPr>
        <w:p w:rsidR="00F35B02" w:rsidRDefault="00F35B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40" w:lineRule="auto"/>
            <w:ind w:left="0" w:hanging="2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</w:p>
      </w:tc>
    </w:tr>
  </w:tbl>
  <w:p w:rsidR="00F35B02" w:rsidRDefault="00F35B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-2" w:firstLine="0"/>
      <w:rPr>
        <w:rFonts w:eastAsia="Arial" w:cs="Arial"/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A1124"/>
    <w:multiLevelType w:val="multilevel"/>
    <w:tmpl w:val="67DA941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2144336"/>
    <w:multiLevelType w:val="multilevel"/>
    <w:tmpl w:val="7814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drky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DB6566"/>
    <w:multiLevelType w:val="multilevel"/>
    <w:tmpl w:val="73E0B604"/>
    <w:lvl w:ilvl="0">
      <w:start w:val="1"/>
      <w:numFmt w:val="bullet"/>
      <w:pStyle w:val="odr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1AC771C9"/>
    <w:multiLevelType w:val="multilevel"/>
    <w:tmpl w:val="F868477E"/>
    <w:lvl w:ilvl="0">
      <w:numFmt w:val="bullet"/>
      <w:pStyle w:val="nadpistlust1"/>
      <w:lvlText w:val="-"/>
      <w:lvlJc w:val="left"/>
      <w:pPr>
        <w:ind w:left="1215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pStyle w:val="Nadpis11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3C3334B4"/>
    <w:multiLevelType w:val="multilevel"/>
    <w:tmpl w:val="43D6E91A"/>
    <w:lvl w:ilvl="0">
      <w:start w:val="1"/>
      <w:numFmt w:val="decimal"/>
      <w:pStyle w:val="odr2"/>
      <w:lvlText w:val="%1"/>
      <w:lvlJc w:val="left"/>
      <w:pPr>
        <w:ind w:left="905" w:hanging="432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49" w:hanging="57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193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337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81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625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769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913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057" w:hanging="1584"/>
      </w:pPr>
      <w:rPr>
        <w:vertAlign w:val="baseline"/>
      </w:rPr>
    </w:lvl>
  </w:abstractNum>
  <w:abstractNum w:abstractNumId="5" w15:restartNumberingAfterBreak="0">
    <w:nsid w:val="56F35FBB"/>
    <w:multiLevelType w:val="multilevel"/>
    <w:tmpl w:val="B72EE460"/>
    <w:lvl w:ilvl="0">
      <w:numFmt w:val="bullet"/>
      <w:pStyle w:val="Nadpis1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pStyle w:val="Nadpis2"/>
      <w:lvlText w:val=""/>
      <w:lvlJc w:val="left"/>
      <w:pPr>
        <w:ind w:left="0" w:firstLine="0"/>
      </w:pPr>
    </w:lvl>
    <w:lvl w:ilvl="2">
      <w:start w:val="1"/>
      <w:numFmt w:val="bullet"/>
      <w:pStyle w:val="Nadpis3"/>
      <w:lvlText w:val=""/>
      <w:lvlJc w:val="left"/>
      <w:pPr>
        <w:ind w:left="0" w:firstLine="0"/>
      </w:pPr>
    </w:lvl>
    <w:lvl w:ilvl="3">
      <w:start w:val="1"/>
      <w:numFmt w:val="bullet"/>
      <w:pStyle w:val="Nadpis4"/>
      <w:lvlText w:val=""/>
      <w:lvlJc w:val="left"/>
      <w:pPr>
        <w:ind w:left="0" w:firstLine="0"/>
      </w:pPr>
    </w:lvl>
    <w:lvl w:ilvl="4">
      <w:start w:val="1"/>
      <w:numFmt w:val="bullet"/>
      <w:pStyle w:val="Nadpis5"/>
      <w:lvlText w:val=""/>
      <w:lvlJc w:val="left"/>
      <w:pPr>
        <w:ind w:left="0" w:firstLine="0"/>
      </w:pPr>
    </w:lvl>
    <w:lvl w:ilvl="5">
      <w:start w:val="1"/>
      <w:numFmt w:val="bullet"/>
      <w:pStyle w:val="Nadpis6"/>
      <w:lvlText w:val=""/>
      <w:lvlJc w:val="left"/>
      <w:pPr>
        <w:ind w:left="0" w:firstLine="0"/>
      </w:pPr>
    </w:lvl>
    <w:lvl w:ilvl="6">
      <w:start w:val="1"/>
      <w:numFmt w:val="bullet"/>
      <w:pStyle w:val="Nadpis7"/>
      <w:lvlText w:val=""/>
      <w:lvlJc w:val="left"/>
      <w:pPr>
        <w:ind w:left="0" w:firstLine="0"/>
      </w:pPr>
    </w:lvl>
    <w:lvl w:ilvl="7">
      <w:start w:val="1"/>
      <w:numFmt w:val="bullet"/>
      <w:pStyle w:val="Nadpis8"/>
      <w:lvlText w:val=""/>
      <w:lvlJc w:val="left"/>
      <w:pPr>
        <w:ind w:left="0" w:firstLine="0"/>
      </w:pPr>
    </w:lvl>
    <w:lvl w:ilvl="8">
      <w:start w:val="1"/>
      <w:numFmt w:val="bullet"/>
      <w:pStyle w:val="Nadpis9"/>
      <w:lvlText w:val=""/>
      <w:lvlJc w:val="left"/>
      <w:pPr>
        <w:ind w:left="0" w:firstLine="0"/>
      </w:pPr>
    </w:lvl>
  </w:abstractNum>
  <w:abstractNum w:abstractNumId="6" w15:restartNumberingAfterBreak="0">
    <w:nsid w:val="5970684E"/>
    <w:multiLevelType w:val="multilevel"/>
    <w:tmpl w:val="9908523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D85B7B"/>
    <w:multiLevelType w:val="multilevel"/>
    <w:tmpl w:val="8A4A9BFC"/>
    <w:lvl w:ilvl="0">
      <w:start w:val="1"/>
      <w:numFmt w:val="decimal"/>
      <w:lvlText w:val="%1"/>
      <w:lvlJc w:val="left"/>
      <w:pPr>
        <w:ind w:left="905" w:hanging="432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49" w:hanging="57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193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337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81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625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769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913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057" w:hanging="1584"/>
      </w:pPr>
      <w:rPr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02"/>
    <w:rsid w:val="0070287A"/>
    <w:rsid w:val="00AE2BB6"/>
    <w:rsid w:val="00F3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BAF37-C2AF-44C0-AF84-8CEC6EC5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/>
      <w:position w:val="-1"/>
      <w:szCs w:val="24"/>
      <w:lang w:val="cs-CZ"/>
    </w:rPr>
  </w:style>
  <w:style w:type="paragraph" w:styleId="Nadpis1">
    <w:name w:val="heading 1"/>
    <w:basedOn w:val="Normln"/>
    <w:next w:val="Zkladntext"/>
    <w:pPr>
      <w:keepNext/>
      <w:numPr>
        <w:numId w:val="5"/>
      </w:numPr>
      <w:tabs>
        <w:tab w:val="num" w:pos="360"/>
      </w:tabs>
      <w:spacing w:before="120" w:after="60"/>
      <w:ind w:left="357" w:hanging="357"/>
      <w:jc w:val="both"/>
    </w:pPr>
    <w:rPr>
      <w:rFonts w:ascii="Arial Narrow" w:hAnsi="Arial Narrow"/>
      <w:b/>
      <w:bCs/>
      <w:caps/>
      <w:sz w:val="24"/>
      <w:u w:val="wavyDouble"/>
    </w:rPr>
  </w:style>
  <w:style w:type="paragraph" w:styleId="Nadpis2">
    <w:name w:val="heading 2"/>
    <w:next w:val="Zkladntext"/>
    <w:pPr>
      <w:keepNext/>
      <w:numPr>
        <w:ilvl w:val="1"/>
        <w:numId w:val="5"/>
      </w:numPr>
      <w:tabs>
        <w:tab w:val="left" w:pos="794"/>
      </w:tabs>
      <w:suppressAutoHyphens/>
      <w:spacing w:before="60" w:after="60" w:line="1" w:lineRule="atLeast"/>
      <w:ind w:leftChars="-1" w:left="-1" w:hangingChars="1" w:hanging="578"/>
      <w:textDirection w:val="btLr"/>
      <w:textAlignment w:val="top"/>
      <w:outlineLvl w:val="1"/>
    </w:pPr>
    <w:rPr>
      <w:rFonts w:ascii="Arial Narrow" w:hAnsi="Arial Narrow" w:cs="Tahoma"/>
      <w:b/>
      <w:bCs/>
      <w:position w:val="-1"/>
      <w:lang w:val="cs-CZ"/>
    </w:rPr>
  </w:style>
  <w:style w:type="paragraph" w:styleId="Nadpis3">
    <w:name w:val="heading 3"/>
    <w:basedOn w:val="Normln"/>
    <w:next w:val="Normln"/>
    <w:pPr>
      <w:keepNext/>
      <w:numPr>
        <w:ilvl w:val="2"/>
        <w:numId w:val="5"/>
      </w:numPr>
      <w:spacing w:before="240" w:after="240"/>
      <w:ind w:left="-1" w:hanging="1"/>
      <w:outlineLvl w:val="2"/>
    </w:pPr>
    <w:rPr>
      <w:b/>
      <w:bCs/>
      <w:caps/>
      <w:sz w:val="22"/>
      <w:szCs w:val="26"/>
    </w:rPr>
  </w:style>
  <w:style w:type="paragraph" w:styleId="Nadpis4">
    <w:name w:val="heading 4"/>
    <w:basedOn w:val="Normln"/>
    <w:next w:val="Normln"/>
    <w:pPr>
      <w:keepNext/>
      <w:numPr>
        <w:ilvl w:val="3"/>
        <w:numId w:val="5"/>
      </w:numPr>
      <w:spacing w:before="240" w:after="60"/>
      <w:ind w:left="-1" w:hanging="1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pPr>
      <w:keepNext/>
      <w:numPr>
        <w:ilvl w:val="4"/>
        <w:numId w:val="5"/>
      </w:numPr>
      <w:ind w:left="-1" w:hanging="1"/>
      <w:outlineLvl w:val="4"/>
    </w:pPr>
    <w:rPr>
      <w:b/>
      <w:bCs/>
      <w:caps/>
      <w:szCs w:val="20"/>
    </w:rPr>
  </w:style>
  <w:style w:type="paragraph" w:styleId="Nadpis6">
    <w:name w:val="heading 6"/>
    <w:basedOn w:val="Normln"/>
    <w:next w:val="Normln"/>
    <w:pPr>
      <w:keepNext/>
      <w:numPr>
        <w:ilvl w:val="5"/>
        <w:numId w:val="5"/>
      </w:numPr>
      <w:ind w:left="-1" w:hanging="1"/>
      <w:outlineLvl w:val="5"/>
    </w:pPr>
    <w:rPr>
      <w:b/>
      <w:caps/>
      <w:szCs w:val="20"/>
    </w:rPr>
  </w:style>
  <w:style w:type="paragraph" w:styleId="Nadpis7">
    <w:name w:val="heading 7"/>
    <w:basedOn w:val="Normln"/>
    <w:next w:val="Normln"/>
    <w:pPr>
      <w:keepNext/>
      <w:numPr>
        <w:ilvl w:val="6"/>
        <w:numId w:val="5"/>
      </w:numPr>
      <w:ind w:left="-1" w:hanging="1"/>
      <w:jc w:val="center"/>
      <w:outlineLvl w:val="6"/>
    </w:pPr>
    <w:rPr>
      <w:b/>
      <w:bCs/>
      <w:i/>
      <w:iCs/>
    </w:rPr>
  </w:style>
  <w:style w:type="paragraph" w:styleId="Nadpis8">
    <w:name w:val="heading 8"/>
    <w:basedOn w:val="Normln"/>
    <w:next w:val="Normln"/>
    <w:pPr>
      <w:keepNext/>
      <w:numPr>
        <w:ilvl w:val="7"/>
        <w:numId w:val="5"/>
      </w:numPr>
      <w:ind w:left="-1" w:hanging="1"/>
      <w:jc w:val="center"/>
      <w:outlineLvl w:val="7"/>
    </w:pPr>
    <w:rPr>
      <w:b/>
      <w:bCs/>
    </w:rPr>
  </w:style>
  <w:style w:type="paragraph" w:styleId="Nadpis9">
    <w:name w:val="heading 9"/>
    <w:basedOn w:val="Normln"/>
    <w:next w:val="Normln"/>
    <w:pPr>
      <w:keepNext/>
      <w:numPr>
        <w:ilvl w:val="8"/>
        <w:numId w:val="5"/>
      </w:numPr>
      <w:ind w:left="-1" w:hanging="1"/>
      <w:jc w:val="both"/>
      <w:outlineLvl w:val="8"/>
    </w:pPr>
    <w:rPr>
      <w:i/>
      <w:i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pPr>
      <w:jc w:val="center"/>
    </w:pPr>
    <w:rPr>
      <w:b/>
      <w:snapToGrid w:val="0"/>
      <w:szCs w:val="20"/>
    </w:rPr>
  </w:style>
  <w:style w:type="paragraph" w:styleId="Zkladntext">
    <w:name w:val="Body Text"/>
    <w:basedOn w:val="Normln"/>
    <w:pPr>
      <w:ind w:firstLine="567"/>
      <w:jc w:val="both"/>
    </w:pPr>
    <w:rPr>
      <w:bCs/>
      <w:lang w:val="de-DE"/>
    </w:rPr>
  </w:style>
  <w:style w:type="paragraph" w:styleId="Datum">
    <w:name w:val="Date"/>
    <w:basedOn w:val="Normln"/>
    <w:next w:val="Normln"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Pr>
      <w:w w:val="100"/>
      <w:position w:val="-1"/>
      <w:effect w:val="none"/>
      <w:vertAlign w:val="baseline"/>
      <w:cs w:val="0"/>
      <w:em w:val="non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Pr>
      <w:sz w:val="22"/>
      <w:szCs w:val="20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</w:rPr>
  </w:style>
  <w:style w:type="paragraph" w:styleId="Zkladntext3">
    <w:name w:val="Body Text 3"/>
    <w:basedOn w:val="Normln"/>
    <w:pPr>
      <w:jc w:val="both"/>
    </w:pPr>
  </w:style>
  <w:style w:type="paragraph" w:customStyle="1" w:styleId="Norml">
    <w:name w:val="Normál"/>
    <w:basedOn w:val="Normln"/>
    <w:rPr>
      <w:szCs w:val="20"/>
    </w:rPr>
  </w:style>
  <w:style w:type="paragraph" w:styleId="Textvbloku">
    <w:name w:val="Block Text"/>
    <w:basedOn w:val="Normln"/>
    <w:pPr>
      <w:ind w:left="2694" w:right="-567" w:hanging="144"/>
    </w:pPr>
    <w:rPr>
      <w:szCs w:val="20"/>
    </w:rPr>
  </w:style>
  <w:style w:type="paragraph" w:styleId="Obsah1">
    <w:name w:val="toc 1"/>
    <w:basedOn w:val="Normln"/>
    <w:next w:val="Normln"/>
  </w:style>
  <w:style w:type="paragraph" w:styleId="Obsah2">
    <w:name w:val="toc 2"/>
    <w:basedOn w:val="Normln"/>
    <w:next w:val="Normln"/>
    <w:pPr>
      <w:ind w:left="240"/>
    </w:pPr>
  </w:style>
  <w:style w:type="paragraph" w:styleId="Obsah3">
    <w:name w:val="toc 3"/>
    <w:basedOn w:val="Normln"/>
    <w:next w:val="Normln"/>
    <w:pPr>
      <w:ind w:left="480"/>
    </w:pPr>
  </w:style>
  <w:style w:type="paragraph" w:styleId="Obsah4">
    <w:name w:val="toc 4"/>
    <w:basedOn w:val="Normln"/>
    <w:next w:val="Normln"/>
    <w:pPr>
      <w:ind w:left="720"/>
    </w:pPr>
  </w:style>
  <w:style w:type="paragraph" w:styleId="Obsah5">
    <w:name w:val="toc 5"/>
    <w:basedOn w:val="Normln"/>
    <w:next w:val="Normln"/>
    <w:pPr>
      <w:ind w:left="960"/>
    </w:pPr>
  </w:style>
  <w:style w:type="paragraph" w:styleId="Obsah6">
    <w:name w:val="toc 6"/>
    <w:basedOn w:val="Normln"/>
    <w:next w:val="Normln"/>
    <w:pPr>
      <w:ind w:left="1200"/>
    </w:pPr>
  </w:style>
  <w:style w:type="paragraph" w:styleId="Obsah7">
    <w:name w:val="toc 7"/>
    <w:basedOn w:val="Normln"/>
    <w:next w:val="Normln"/>
    <w:pPr>
      <w:ind w:left="1440"/>
    </w:pPr>
  </w:style>
  <w:style w:type="paragraph" w:styleId="Obsah8">
    <w:name w:val="toc 8"/>
    <w:basedOn w:val="Normln"/>
    <w:next w:val="Normln"/>
    <w:pPr>
      <w:ind w:left="1680"/>
    </w:pPr>
  </w:style>
  <w:style w:type="paragraph" w:styleId="Obsah9">
    <w:name w:val="toc 9"/>
    <w:basedOn w:val="Normln"/>
    <w:next w:val="Normln"/>
    <w:pPr>
      <w:ind w:left="1920"/>
    </w:pPr>
  </w:style>
  <w:style w:type="character" w:styleId="Hypertextovodkaz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Zkladntextodsazen">
    <w:name w:val="Body Text Indent"/>
    <w:basedOn w:val="Normln"/>
    <w:pPr>
      <w:ind w:firstLine="170"/>
    </w:pPr>
  </w:style>
  <w:style w:type="paragraph" w:styleId="Zkladntextodsazen3">
    <w:name w:val="Body Text Indent 3"/>
    <w:basedOn w:val="Normln"/>
    <w:pPr>
      <w:ind w:left="170"/>
      <w:jc w:val="both"/>
    </w:pPr>
    <w:rPr>
      <w:b/>
      <w:bCs/>
      <w:szCs w:val="20"/>
    </w:rPr>
  </w:style>
  <w:style w:type="paragraph" w:styleId="Zkladntextodsazen2">
    <w:name w:val="Body Text Indent 2"/>
    <w:basedOn w:val="Normln"/>
    <w:pPr>
      <w:ind w:firstLine="170"/>
    </w:pPr>
    <w:rPr>
      <w:color w:val="0000FF"/>
    </w:rPr>
  </w:style>
  <w:style w:type="paragraph" w:customStyle="1" w:styleId="odr2">
    <w:name w:val="odr2"/>
    <w:basedOn w:val="Normln"/>
    <w:pPr>
      <w:numPr>
        <w:numId w:val="1"/>
      </w:numPr>
      <w:ind w:left="2160" w:hanging="180"/>
    </w:pPr>
  </w:style>
  <w:style w:type="paragraph" w:customStyle="1" w:styleId="odra3">
    <w:name w:val="odra 3"/>
    <w:basedOn w:val="Datum"/>
    <w:pPr>
      <w:numPr>
        <w:numId w:val="2"/>
      </w:numPr>
      <w:tabs>
        <w:tab w:val="num" w:pos="1494"/>
      </w:tabs>
      <w:ind w:left="984" w:hanging="1"/>
    </w:pPr>
    <w:rPr>
      <w:rFonts w:ascii="Times New Roman" w:hAnsi="Times New Roman"/>
      <w:sz w:val="24"/>
      <w:lang w:val="en-GB"/>
    </w:rPr>
  </w:style>
  <w:style w:type="paragraph" w:customStyle="1" w:styleId="Normlnhust">
    <w:name w:val="Normální hustě"/>
    <w:basedOn w:val="Normln"/>
    <w:pPr>
      <w:ind w:left="851"/>
      <w:jc w:val="both"/>
    </w:pPr>
    <w:rPr>
      <w:rFonts w:ascii="Helvetica" w:hAnsi="Helvetica"/>
      <w:sz w:val="18"/>
      <w:szCs w:val="20"/>
      <w:lang w:eastAsia="en-US"/>
    </w:rPr>
  </w:style>
  <w:style w:type="character" w:styleId="Sledovanodkaz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Normlnodsazen">
    <w:name w:val="Normal Indent"/>
    <w:basedOn w:val="Normln"/>
    <w:pPr>
      <w:spacing w:line="360" w:lineRule="auto"/>
      <w:ind w:left="1134"/>
    </w:pPr>
    <w:rPr>
      <w:rFonts w:ascii="Arial Narrow" w:hAnsi="Arial Narrow"/>
      <w:szCs w:val="20"/>
    </w:rPr>
  </w:style>
  <w:style w:type="paragraph" w:customStyle="1" w:styleId="Nadpis11">
    <w:name w:val="_Nadpis 1.1"/>
    <w:basedOn w:val="Zkladntext0"/>
    <w:next w:val="Zkladntext0"/>
    <w:pPr>
      <w:numPr>
        <w:ilvl w:val="1"/>
        <w:numId w:val="3"/>
      </w:numPr>
      <w:spacing w:before="240" w:after="120"/>
      <w:ind w:left="-1" w:firstLine="284"/>
    </w:pPr>
    <w:rPr>
      <w:b/>
      <w:sz w:val="24"/>
    </w:rPr>
  </w:style>
  <w:style w:type="paragraph" w:customStyle="1" w:styleId="Zkladntext0">
    <w:name w:val="_Základní text"/>
    <w:basedOn w:val="Normln"/>
    <w:pPr>
      <w:ind w:firstLine="284"/>
      <w:jc w:val="both"/>
    </w:pPr>
    <w:rPr>
      <w:sz w:val="22"/>
      <w:szCs w:val="20"/>
    </w:rPr>
  </w:style>
  <w:style w:type="paragraph" w:customStyle="1" w:styleId="nadpistlust1">
    <w:name w:val="_nadpis tlustý 1"/>
    <w:basedOn w:val="Nadpis11"/>
    <w:next w:val="Zkladntext0"/>
    <w:pPr>
      <w:numPr>
        <w:ilvl w:val="0"/>
      </w:numPr>
      <w:spacing w:before="480" w:after="0"/>
      <w:ind w:left="-1" w:firstLine="284"/>
    </w:pPr>
    <w:rPr>
      <w:smallCaps/>
      <w:sz w:val="26"/>
    </w:rPr>
  </w:style>
  <w:style w:type="paragraph" w:customStyle="1" w:styleId="nadpis111">
    <w:name w:val="_nadpis 1.1.1"/>
    <w:basedOn w:val="nadpistlust1"/>
    <w:next w:val="Zkladntext0"/>
    <w:pPr>
      <w:numPr>
        <w:numId w:val="0"/>
      </w:numPr>
      <w:tabs>
        <w:tab w:val="num" w:pos="530"/>
      </w:tabs>
      <w:spacing w:before="120" w:after="120"/>
      <w:ind w:leftChars="-1" w:left="530" w:hangingChars="1" w:hanging="360"/>
    </w:pPr>
    <w:rPr>
      <w:i/>
      <w:smallCaps w:val="0"/>
      <w:sz w:val="22"/>
      <w:u w:val="single"/>
    </w:rPr>
  </w:style>
  <w:style w:type="paragraph" w:styleId="Seznamsodrkami">
    <w:name w:val="List Bullet"/>
    <w:basedOn w:val="Normln"/>
    <w:pPr>
      <w:tabs>
        <w:tab w:val="num" w:pos="1211"/>
      </w:tabs>
      <w:spacing w:before="100" w:beforeAutospacing="1" w:after="100" w:afterAutospacing="1"/>
      <w:ind w:left="1191" w:hanging="340"/>
      <w:jc w:val="both"/>
    </w:pPr>
    <w:rPr>
      <w:sz w:val="28"/>
      <w:szCs w:val="20"/>
    </w:rPr>
  </w:style>
  <w:style w:type="paragraph" w:styleId="slovanseznam">
    <w:name w:val="List Number"/>
    <w:basedOn w:val="Normln"/>
    <w:pPr>
      <w:tabs>
        <w:tab w:val="num" w:pos="360"/>
      </w:tabs>
      <w:spacing w:before="60" w:after="20"/>
      <w:ind w:left="360" w:hanging="360"/>
      <w:jc w:val="both"/>
    </w:pPr>
    <w:rPr>
      <w:rFonts w:ascii="Century Gothic" w:hAnsi="Century Gothic"/>
      <w:sz w:val="18"/>
      <w:szCs w:val="20"/>
    </w:rPr>
  </w:style>
  <w:style w:type="paragraph" w:styleId="slovanseznam2">
    <w:name w:val="List Number 2"/>
    <w:basedOn w:val="Normln"/>
    <w:pPr>
      <w:tabs>
        <w:tab w:val="num" w:pos="643"/>
      </w:tabs>
      <w:spacing w:before="60" w:after="20"/>
      <w:ind w:left="643" w:hanging="360"/>
      <w:jc w:val="both"/>
    </w:pPr>
    <w:rPr>
      <w:rFonts w:ascii="Century Gothic" w:hAnsi="Century Gothic"/>
      <w:sz w:val="18"/>
      <w:szCs w:val="20"/>
    </w:rPr>
  </w:style>
  <w:style w:type="paragraph" w:styleId="slovanseznam3">
    <w:name w:val="List Number 3"/>
    <w:basedOn w:val="Normln"/>
    <w:pPr>
      <w:tabs>
        <w:tab w:val="num" w:pos="926"/>
      </w:tabs>
      <w:spacing w:before="60" w:after="20"/>
      <w:ind w:left="926" w:hanging="360"/>
      <w:jc w:val="both"/>
    </w:pPr>
    <w:rPr>
      <w:rFonts w:ascii="Century Gothic" w:hAnsi="Century Gothic"/>
      <w:sz w:val="18"/>
      <w:szCs w:val="20"/>
    </w:rPr>
  </w:style>
  <w:style w:type="paragraph" w:styleId="slovanseznam4">
    <w:name w:val="List Number 4"/>
    <w:basedOn w:val="Normln"/>
    <w:pPr>
      <w:tabs>
        <w:tab w:val="num" w:pos="1209"/>
      </w:tabs>
      <w:spacing w:before="60" w:after="20"/>
      <w:ind w:left="1209" w:hanging="360"/>
      <w:jc w:val="both"/>
    </w:pPr>
    <w:rPr>
      <w:rFonts w:ascii="Century Gothic" w:hAnsi="Century Gothic"/>
      <w:sz w:val="18"/>
      <w:szCs w:val="20"/>
    </w:rPr>
  </w:style>
  <w:style w:type="paragraph" w:styleId="slovanseznam5">
    <w:name w:val="List Number 5"/>
    <w:basedOn w:val="Normln"/>
    <w:pPr>
      <w:tabs>
        <w:tab w:val="num" w:pos="1492"/>
      </w:tabs>
      <w:spacing w:before="60" w:after="20"/>
      <w:ind w:left="1492" w:hanging="360"/>
      <w:jc w:val="both"/>
    </w:pPr>
    <w:rPr>
      <w:rFonts w:ascii="Century Gothic" w:hAnsi="Century Gothic"/>
      <w:sz w:val="18"/>
      <w:szCs w:val="20"/>
    </w:rPr>
  </w:style>
  <w:style w:type="paragraph" w:styleId="Seznamsodrkami2">
    <w:name w:val="List Bullet 2"/>
    <w:basedOn w:val="Normln"/>
    <w:pPr>
      <w:tabs>
        <w:tab w:val="num" w:pos="643"/>
      </w:tabs>
      <w:spacing w:before="60" w:after="20"/>
      <w:ind w:left="643" w:hanging="360"/>
      <w:jc w:val="both"/>
    </w:pPr>
    <w:rPr>
      <w:rFonts w:ascii="Century Gothic" w:hAnsi="Century Gothic"/>
      <w:sz w:val="18"/>
      <w:szCs w:val="20"/>
    </w:rPr>
  </w:style>
  <w:style w:type="paragraph" w:styleId="Seznamsodrkami3">
    <w:name w:val="List Bullet 3"/>
    <w:basedOn w:val="Normln"/>
    <w:pPr>
      <w:tabs>
        <w:tab w:val="num" w:pos="926"/>
      </w:tabs>
      <w:spacing w:before="60" w:after="20"/>
      <w:ind w:left="926" w:hanging="360"/>
      <w:jc w:val="both"/>
    </w:pPr>
    <w:rPr>
      <w:rFonts w:ascii="Century Gothic" w:hAnsi="Century Gothic"/>
      <w:sz w:val="18"/>
      <w:szCs w:val="20"/>
    </w:rPr>
  </w:style>
  <w:style w:type="paragraph" w:styleId="Seznamsodrkami4">
    <w:name w:val="List Bullet 4"/>
    <w:basedOn w:val="Normln"/>
    <w:pPr>
      <w:tabs>
        <w:tab w:val="num" w:pos="1209"/>
      </w:tabs>
      <w:spacing w:before="60" w:after="20"/>
      <w:ind w:left="1209" w:hanging="360"/>
      <w:jc w:val="both"/>
    </w:pPr>
    <w:rPr>
      <w:rFonts w:ascii="Century Gothic" w:hAnsi="Century Gothic"/>
      <w:sz w:val="18"/>
      <w:szCs w:val="20"/>
    </w:rPr>
  </w:style>
  <w:style w:type="paragraph" w:styleId="Seznamsodrkami5">
    <w:name w:val="List Bullet 5"/>
    <w:basedOn w:val="Normln"/>
    <w:pPr>
      <w:tabs>
        <w:tab w:val="num" w:pos="1492"/>
      </w:tabs>
      <w:spacing w:before="60" w:after="20"/>
      <w:ind w:left="1492" w:hanging="360"/>
      <w:jc w:val="both"/>
    </w:pPr>
    <w:rPr>
      <w:rFonts w:ascii="Century Gothic" w:hAnsi="Century Gothic"/>
      <w:sz w:val="18"/>
      <w:szCs w:val="20"/>
    </w:rPr>
  </w:style>
  <w:style w:type="paragraph" w:customStyle="1" w:styleId="Vc">
    <w:name w:val="Věc"/>
    <w:basedOn w:val="Normln"/>
    <w:next w:val="Normln"/>
    <w:pPr>
      <w:tabs>
        <w:tab w:val="num" w:pos="737"/>
      </w:tabs>
      <w:spacing w:before="720" w:after="20"/>
      <w:ind w:left="737" w:hanging="737"/>
    </w:pPr>
    <w:rPr>
      <w:rFonts w:ascii="Century Gothic" w:hAnsi="Century Gothic"/>
      <w:b/>
      <w:sz w:val="18"/>
      <w:szCs w:val="20"/>
    </w:rPr>
  </w:style>
  <w:style w:type="paragraph" w:customStyle="1" w:styleId="Znaka">
    <w:name w:val="Značka"/>
    <w:pPr>
      <w:tabs>
        <w:tab w:val="num" w:pos="360"/>
      </w:tabs>
      <w:suppressAutoHyphens/>
      <w:spacing w:before="60" w:after="60" w:line="1" w:lineRule="atLeast"/>
      <w:ind w:leftChars="-1" w:left="360" w:hangingChars="1" w:hanging="360"/>
      <w:jc w:val="both"/>
      <w:textDirection w:val="btLr"/>
      <w:textAlignment w:val="top"/>
      <w:outlineLvl w:val="0"/>
    </w:pPr>
    <w:rPr>
      <w:rFonts w:ascii="Arial" w:hAnsi="Arial"/>
      <w:color w:val="000000"/>
      <w:position w:val="-1"/>
      <w:sz w:val="22"/>
      <w:lang w:val="cs-CZ"/>
    </w:rPr>
  </w:style>
  <w:style w:type="paragraph" w:customStyle="1" w:styleId="Odrky">
    <w:name w:val="Odrážky"/>
    <w:basedOn w:val="Normln"/>
    <w:pPr>
      <w:numPr>
        <w:ilvl w:val="10"/>
        <w:numId w:val="8"/>
      </w:numPr>
      <w:tabs>
        <w:tab w:val="left" w:pos="3119"/>
        <w:tab w:val="left" w:pos="3402"/>
        <w:tab w:val="right" w:pos="6237"/>
      </w:tabs>
      <w:spacing w:before="120"/>
      <w:ind w:left="1134" w:hanging="283"/>
      <w:jc w:val="both"/>
    </w:pPr>
    <w:rPr>
      <w:szCs w:val="20"/>
    </w:rPr>
  </w:style>
  <w:style w:type="paragraph" w:styleId="Textmakra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ourier New" w:hAnsi="Courier New"/>
      <w:spacing w:val="-5"/>
      <w:position w:val="-1"/>
      <w:lang w:val="cs-CZ"/>
    </w:rPr>
  </w:style>
  <w:style w:type="paragraph" w:styleId="Zvr">
    <w:name w:val="Closing"/>
    <w:basedOn w:val="Normln"/>
    <w:next w:val="Podpis"/>
    <w:pPr>
      <w:keepNext/>
      <w:spacing w:before="60" w:after="60" w:line="220" w:lineRule="atLeast"/>
      <w:jc w:val="both"/>
    </w:pPr>
    <w:rPr>
      <w:rFonts w:ascii="Century Gothic" w:hAnsi="Century Gothic"/>
      <w:sz w:val="18"/>
      <w:szCs w:val="20"/>
    </w:rPr>
  </w:style>
  <w:style w:type="paragraph" w:styleId="Podpis">
    <w:name w:val="Signature"/>
    <w:basedOn w:val="Normln"/>
    <w:next w:val="Podpis-funkce"/>
    <w:pPr>
      <w:keepNext/>
      <w:spacing w:before="880" w:after="20" w:line="220" w:lineRule="atLeast"/>
      <w:jc w:val="both"/>
    </w:pPr>
    <w:rPr>
      <w:rFonts w:ascii="Century Gothic" w:hAnsi="Century Gothic"/>
      <w:sz w:val="18"/>
      <w:szCs w:val="20"/>
    </w:rPr>
  </w:style>
  <w:style w:type="paragraph" w:customStyle="1" w:styleId="Podpis-funkce">
    <w:name w:val="Podpis - funkce"/>
    <w:basedOn w:val="Podpis"/>
    <w:next w:val="Normln"/>
    <w:pPr>
      <w:spacing w:before="0"/>
    </w:pPr>
    <w:rPr>
      <w:sz w:val="16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Siln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Hlavikaobsahu">
    <w:name w:val="toa heading"/>
    <w:basedOn w:val="Normln"/>
    <w:next w:val="Normln"/>
    <w:pPr>
      <w:spacing w:before="120"/>
    </w:pPr>
    <w:rPr>
      <w:rFonts w:cs="Arial"/>
      <w:b/>
      <w:bCs/>
      <w:sz w:val="24"/>
    </w:rPr>
  </w:style>
  <w:style w:type="paragraph" w:customStyle="1" w:styleId="Styl1">
    <w:name w:val="Styl1"/>
    <w:basedOn w:val="Zkladntext"/>
    <w:pPr>
      <w:tabs>
        <w:tab w:val="left" w:pos="0"/>
        <w:tab w:val="left" w:pos="357"/>
      </w:tabs>
      <w:spacing w:before="360" w:after="240"/>
      <w:ind w:left="357" w:hanging="357"/>
      <w:jc w:val="left"/>
    </w:pPr>
    <w:rPr>
      <w:sz w:val="24"/>
      <w:u w:val="wavyDouble"/>
      <w:lang w:val="cs-CZ"/>
    </w:rPr>
  </w:style>
  <w:style w:type="character" w:customStyle="1" w:styleId="WW8Num6z0">
    <w:name w:val="WW8Num6z0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paragraph" w:customStyle="1" w:styleId="Tabulky">
    <w:name w:val="Tabulky"/>
    <w:basedOn w:val="Normln"/>
    <w:pPr>
      <w:suppressAutoHyphens w:val="0"/>
      <w:overflowPunct w:val="0"/>
      <w:autoSpaceDE w:val="0"/>
      <w:spacing w:before="120" w:after="120"/>
      <w:jc w:val="center"/>
      <w:textAlignment w:val="baseline"/>
    </w:pPr>
    <w:rPr>
      <w:b/>
      <w:spacing w:val="30"/>
      <w:sz w:val="16"/>
      <w:szCs w:val="20"/>
      <w:lang w:eastAsia="ar-SA"/>
    </w:rPr>
  </w:style>
  <w:style w:type="paragraph" w:customStyle="1" w:styleId="Tabmensi">
    <w:name w:val="Tab_mensi"/>
    <w:basedOn w:val="Normln"/>
    <w:pPr>
      <w:framePr w:hSpace="142" w:wrap="around" w:hAnchor="text" w:xAlign="center" w:yAlign="center"/>
      <w:suppressOverlap/>
    </w:pPr>
    <w:rPr>
      <w:rFonts w:ascii="Arial Narrow" w:hAnsi="Arial Narrow"/>
      <w:sz w:val="16"/>
      <w:szCs w:val="22"/>
      <w:lang w:eastAsia="en-US"/>
    </w:rPr>
  </w:style>
  <w:style w:type="paragraph" w:customStyle="1" w:styleId="Tabvelka">
    <w:name w:val="Tab_velka"/>
    <w:basedOn w:val="Normln"/>
    <w:pPr>
      <w:framePr w:hSpace="142" w:wrap="around" w:vAnchor="page" w:hAnchor="margin" w:xAlign="center" w:yAlign="center"/>
      <w:suppressOverlap/>
      <w:jc w:val="center"/>
    </w:pPr>
    <w:rPr>
      <w:rFonts w:ascii="Arial Narrow" w:hAnsi="Arial Narrow"/>
      <w:sz w:val="36"/>
      <w:szCs w:val="22"/>
      <w:lang w:eastAsia="en-US"/>
    </w:rPr>
  </w:style>
  <w:style w:type="paragraph" w:customStyle="1" w:styleId="Tabmensistred">
    <w:name w:val="Tab_mensi_stred"/>
    <w:basedOn w:val="Tabmensi"/>
    <w:pPr>
      <w:framePr w:wrap="around"/>
      <w:jc w:val="center"/>
    </w:pPr>
    <w:rPr>
      <w:szCs w:val="20"/>
    </w:rPr>
  </w:style>
  <w:style w:type="paragraph" w:styleId="Normlnweb">
    <w:name w:val="Normal (Web)"/>
    <w:basedOn w:val="Normln"/>
    <w:qFormat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ZkladntextChar">
    <w:name w:val="Základní text Char"/>
    <w:rPr>
      <w:rFonts w:ascii="Arial" w:hAnsi="Arial"/>
      <w:bCs/>
      <w:w w:val="100"/>
      <w:position w:val="-1"/>
      <w:szCs w:val="24"/>
      <w:effect w:val="none"/>
      <w:vertAlign w:val="baseline"/>
      <w:cs w:val="0"/>
      <w:em w:val="none"/>
      <w:lang w:val="de-DE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eRLhQOjVC3YnEGSyhict6ZWG5A==">CgMxLjAyDmgub3lmYzY1NDhxcDl6Mg5oLnRsN3lwcXJzMnZ1ajIOaC5jZm1qY2c4bHNwOXkyDmgud2hxeGZtYWtnb2JqMg5oLnU1OHRtbHhpYXl5MTIOaC51N2FpdW0yaTU4d3oyDmguZmdid20ycDkwMHFlMg5oLnQ2enpxNGYxaGFzeDIOaC5pZW02d2RubXpwemEyDmguaWZ5a2ducWtsdXlyMg5oLjZjMzlkcjYxeG00OTgAciExcjRRcTZPM1k4WmJtMkhKeE1WODdURjV5LVU5aXBnS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3112</Words>
  <Characters>18363</Characters>
  <Application>Microsoft Office Word</Application>
  <DocSecurity>0</DocSecurity>
  <Lines>153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blankav</dc:creator>
  <cp:lastModifiedBy>Dušan Navrátil</cp:lastModifiedBy>
  <cp:revision>3</cp:revision>
  <cp:lastPrinted>2025-09-22T18:39:00Z</cp:lastPrinted>
  <dcterms:created xsi:type="dcterms:W3CDTF">2021-03-12T13:23:00Z</dcterms:created>
  <dcterms:modified xsi:type="dcterms:W3CDTF">2025-09-22T18:41:00Z</dcterms:modified>
</cp:coreProperties>
</file>